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236" w:rsidRPr="00E43EDA" w:rsidRDefault="00C15E74" w:rsidP="002F6413">
      <w:pPr>
        <w:jc w:val="both"/>
        <w:rPr>
          <w:rFonts w:ascii="Tahoma" w:hAnsi="Tahoma" w:cs="Tahoma"/>
          <w:sz w:val="24"/>
          <w:szCs w:val="24"/>
          <w:u w:val="single"/>
          <w:lang w:val="en-US"/>
        </w:rPr>
      </w:pPr>
      <w:bookmarkStart w:id="0" w:name="_GoBack"/>
      <w:bookmarkEnd w:id="0"/>
      <w:r w:rsidRPr="00E43EDA">
        <w:rPr>
          <w:rFonts w:ascii="Tahoma" w:hAnsi="Tahoma" w:cs="Tahoma"/>
          <w:sz w:val="24"/>
          <w:szCs w:val="24"/>
          <w:u w:val="single"/>
          <w:lang w:val="en-US"/>
        </w:rPr>
        <w:t>The impact of austerity measures on social rights in the public sector</w:t>
      </w:r>
      <w:r w:rsidR="00511C8B" w:rsidRPr="00E43EDA">
        <w:rPr>
          <w:rFonts w:ascii="Tahoma" w:hAnsi="Tahoma" w:cs="Tahoma"/>
          <w:sz w:val="24"/>
          <w:szCs w:val="24"/>
          <w:u w:val="single"/>
          <w:lang w:val="en-US"/>
        </w:rPr>
        <w:t>: the EU does not grant any attention to respect of basi</w:t>
      </w:r>
      <w:r w:rsidR="002F5C44">
        <w:rPr>
          <w:rFonts w:ascii="Tahoma" w:hAnsi="Tahoma" w:cs="Tahoma"/>
          <w:sz w:val="24"/>
          <w:szCs w:val="24"/>
          <w:u w:val="single"/>
          <w:lang w:val="en-US"/>
        </w:rPr>
        <w:t>c social rights in order to com</w:t>
      </w:r>
      <w:r w:rsidR="00511C8B" w:rsidRPr="00E43EDA">
        <w:rPr>
          <w:rFonts w:ascii="Tahoma" w:hAnsi="Tahoma" w:cs="Tahoma"/>
          <w:sz w:val="24"/>
          <w:szCs w:val="24"/>
          <w:u w:val="single"/>
          <w:lang w:val="en-US"/>
        </w:rPr>
        <w:t>ply with austerity measures</w:t>
      </w:r>
    </w:p>
    <w:p w:rsidR="00465C37" w:rsidRPr="00E43EDA" w:rsidRDefault="00465C37" w:rsidP="00465C37">
      <w:pPr>
        <w:pStyle w:val="ListParagraph"/>
        <w:numPr>
          <w:ilvl w:val="0"/>
          <w:numId w:val="8"/>
        </w:numPr>
        <w:jc w:val="both"/>
        <w:rPr>
          <w:rFonts w:ascii="Tahoma" w:hAnsi="Tahoma" w:cs="Tahoma"/>
          <w:sz w:val="24"/>
          <w:szCs w:val="24"/>
          <w:lang w:val="en-US"/>
        </w:rPr>
      </w:pPr>
      <w:r w:rsidRPr="00E43EDA">
        <w:rPr>
          <w:rFonts w:ascii="Tahoma" w:hAnsi="Tahoma" w:cs="Tahoma"/>
          <w:sz w:val="24"/>
          <w:szCs w:val="24"/>
          <w:lang w:val="en-US"/>
        </w:rPr>
        <w:t>Introduction</w:t>
      </w:r>
    </w:p>
    <w:p w:rsidR="008150A5" w:rsidRPr="00E43EDA" w:rsidRDefault="002D3AF2" w:rsidP="00465C37">
      <w:pPr>
        <w:jc w:val="both"/>
        <w:rPr>
          <w:rFonts w:ascii="Tahoma" w:hAnsi="Tahoma" w:cs="Tahoma"/>
          <w:sz w:val="24"/>
          <w:szCs w:val="24"/>
          <w:lang w:val="en-US"/>
        </w:rPr>
      </w:pPr>
      <w:r w:rsidRPr="00E43EDA">
        <w:rPr>
          <w:rFonts w:ascii="Tahoma" w:hAnsi="Tahoma" w:cs="Tahoma"/>
          <w:sz w:val="24"/>
          <w:szCs w:val="24"/>
          <w:lang w:val="en-US"/>
        </w:rPr>
        <w:t>The aim of this paper i</w:t>
      </w:r>
      <w:r w:rsidR="00080260" w:rsidRPr="00E43EDA">
        <w:rPr>
          <w:rFonts w:ascii="Tahoma" w:hAnsi="Tahoma" w:cs="Tahoma"/>
          <w:sz w:val="24"/>
          <w:szCs w:val="24"/>
          <w:lang w:val="en-US"/>
        </w:rPr>
        <w:t xml:space="preserve">s to research the legal </w:t>
      </w:r>
      <w:r w:rsidR="002F5C44">
        <w:rPr>
          <w:rFonts w:ascii="Tahoma" w:hAnsi="Tahoma" w:cs="Tahoma"/>
          <w:sz w:val="24"/>
          <w:szCs w:val="24"/>
          <w:lang w:val="en-US"/>
        </w:rPr>
        <w:t>impact of modifications in the field where</w:t>
      </w:r>
      <w:r w:rsidR="008150A5" w:rsidRPr="00E43EDA">
        <w:rPr>
          <w:rFonts w:ascii="Tahoma" w:hAnsi="Tahoma" w:cs="Tahoma"/>
          <w:sz w:val="24"/>
          <w:szCs w:val="24"/>
          <w:lang w:val="en-US"/>
        </w:rPr>
        <w:t xml:space="preserve"> the State </w:t>
      </w:r>
      <w:r w:rsidR="002F5C44">
        <w:rPr>
          <w:rFonts w:ascii="Tahoma" w:hAnsi="Tahoma" w:cs="Tahoma"/>
          <w:sz w:val="24"/>
          <w:szCs w:val="24"/>
          <w:lang w:val="en-US"/>
        </w:rPr>
        <w:t xml:space="preserve">acts </w:t>
      </w:r>
      <w:r w:rsidR="008150A5" w:rsidRPr="00E43EDA">
        <w:rPr>
          <w:rFonts w:ascii="Tahoma" w:hAnsi="Tahoma" w:cs="Tahoma"/>
          <w:sz w:val="24"/>
          <w:szCs w:val="24"/>
          <w:lang w:val="en-US"/>
        </w:rPr>
        <w:t>as E</w:t>
      </w:r>
      <w:r w:rsidR="00080260" w:rsidRPr="00E43EDA">
        <w:rPr>
          <w:rFonts w:ascii="Tahoma" w:hAnsi="Tahoma" w:cs="Tahoma"/>
          <w:sz w:val="24"/>
          <w:szCs w:val="24"/>
          <w:lang w:val="en-US"/>
        </w:rPr>
        <w:t>mployer</w:t>
      </w:r>
      <w:r w:rsidR="002F5C44">
        <w:rPr>
          <w:rFonts w:ascii="Tahoma" w:hAnsi="Tahoma" w:cs="Tahoma"/>
          <w:sz w:val="24"/>
          <w:szCs w:val="24"/>
          <w:lang w:val="en-US"/>
        </w:rPr>
        <w:t>. Some major modifications were initiated</w:t>
      </w:r>
      <w:r w:rsidR="00080260" w:rsidRPr="00E43EDA">
        <w:rPr>
          <w:rFonts w:ascii="Tahoma" w:hAnsi="Tahoma" w:cs="Tahoma"/>
          <w:sz w:val="24"/>
          <w:szCs w:val="24"/>
          <w:lang w:val="en-US"/>
        </w:rPr>
        <w:t xml:space="preserve"> which as a consequence </w:t>
      </w:r>
      <w:r w:rsidR="002F5C44">
        <w:rPr>
          <w:rFonts w:ascii="Tahoma" w:hAnsi="Tahoma" w:cs="Tahoma"/>
          <w:sz w:val="24"/>
          <w:szCs w:val="24"/>
          <w:lang w:val="en-US"/>
        </w:rPr>
        <w:t>of the increased</w:t>
      </w:r>
      <w:r w:rsidR="00080260" w:rsidRPr="00E43EDA">
        <w:rPr>
          <w:rFonts w:ascii="Tahoma" w:hAnsi="Tahoma" w:cs="Tahoma"/>
          <w:sz w:val="24"/>
          <w:szCs w:val="24"/>
          <w:lang w:val="en-US"/>
        </w:rPr>
        <w:t xml:space="preserve"> </w:t>
      </w:r>
      <w:r w:rsidR="00511C8B" w:rsidRPr="00E43EDA">
        <w:rPr>
          <w:rFonts w:ascii="Tahoma" w:hAnsi="Tahoma" w:cs="Tahoma"/>
          <w:sz w:val="24"/>
          <w:szCs w:val="24"/>
          <w:lang w:val="en-US"/>
        </w:rPr>
        <w:t>budgetary</w:t>
      </w:r>
      <w:r w:rsidR="009D4E44" w:rsidRPr="00E43EDA">
        <w:rPr>
          <w:rFonts w:ascii="Tahoma" w:hAnsi="Tahoma" w:cs="Tahoma"/>
          <w:sz w:val="24"/>
          <w:szCs w:val="24"/>
          <w:lang w:val="en-US"/>
        </w:rPr>
        <w:t xml:space="preserve"> control by the EU on </w:t>
      </w:r>
      <w:r w:rsidR="00C238B9" w:rsidRPr="00E43EDA">
        <w:rPr>
          <w:rFonts w:ascii="Tahoma" w:hAnsi="Tahoma" w:cs="Tahoma"/>
          <w:sz w:val="24"/>
          <w:szCs w:val="24"/>
          <w:lang w:val="en-US"/>
        </w:rPr>
        <w:t xml:space="preserve">Belgium and the Netherlands </w:t>
      </w:r>
      <w:r w:rsidR="002F5C44">
        <w:rPr>
          <w:rFonts w:ascii="Tahoma" w:hAnsi="Tahoma" w:cs="Tahoma"/>
          <w:sz w:val="24"/>
          <w:szCs w:val="24"/>
          <w:lang w:val="en-US"/>
        </w:rPr>
        <w:t xml:space="preserve">on one hand. Some other modifications were a consequence of the financial </w:t>
      </w:r>
      <w:proofErr w:type="gramStart"/>
      <w:r w:rsidR="002F5C44">
        <w:rPr>
          <w:rFonts w:ascii="Tahoma" w:hAnsi="Tahoma" w:cs="Tahoma"/>
          <w:sz w:val="24"/>
          <w:szCs w:val="24"/>
          <w:lang w:val="en-US"/>
        </w:rPr>
        <w:t xml:space="preserve">support which has been asked by </w:t>
      </w:r>
      <w:r w:rsidR="008150A5" w:rsidRPr="00E43EDA">
        <w:rPr>
          <w:rFonts w:ascii="Tahoma" w:hAnsi="Tahoma" w:cs="Tahoma"/>
          <w:sz w:val="24"/>
          <w:szCs w:val="24"/>
          <w:lang w:val="en-US"/>
        </w:rPr>
        <w:t>Spain</w:t>
      </w:r>
      <w:proofErr w:type="gramEnd"/>
      <w:r w:rsidR="008150A5" w:rsidRPr="00E43EDA">
        <w:rPr>
          <w:rFonts w:ascii="Tahoma" w:hAnsi="Tahoma" w:cs="Tahoma"/>
          <w:sz w:val="24"/>
          <w:szCs w:val="24"/>
          <w:lang w:val="en-US"/>
        </w:rPr>
        <w:t xml:space="preserve"> and Portugal has to </w:t>
      </w:r>
      <w:r w:rsidR="002F5C44">
        <w:rPr>
          <w:rFonts w:ascii="Tahoma" w:hAnsi="Tahoma" w:cs="Tahoma"/>
          <w:sz w:val="24"/>
          <w:szCs w:val="24"/>
          <w:lang w:val="en-US"/>
        </w:rPr>
        <w:t>the EU</w:t>
      </w:r>
      <w:r w:rsidR="008150A5" w:rsidRPr="00E43EDA">
        <w:rPr>
          <w:rFonts w:ascii="Tahoma" w:hAnsi="Tahoma" w:cs="Tahoma"/>
          <w:sz w:val="24"/>
          <w:szCs w:val="24"/>
          <w:lang w:val="en-US"/>
        </w:rPr>
        <w:t>.</w:t>
      </w:r>
      <w:r w:rsidR="009D4E44" w:rsidRPr="00E43EDA">
        <w:rPr>
          <w:rFonts w:ascii="Tahoma" w:hAnsi="Tahoma" w:cs="Tahoma"/>
          <w:sz w:val="24"/>
          <w:szCs w:val="24"/>
          <w:lang w:val="en-US"/>
        </w:rPr>
        <w:t xml:space="preserve"> </w:t>
      </w:r>
    </w:p>
    <w:p w:rsidR="00FC297D" w:rsidRPr="00E43EDA" w:rsidRDefault="008150A5" w:rsidP="002F6413">
      <w:pPr>
        <w:jc w:val="both"/>
        <w:rPr>
          <w:rFonts w:ascii="Tahoma" w:hAnsi="Tahoma" w:cs="Tahoma"/>
          <w:sz w:val="24"/>
          <w:szCs w:val="24"/>
          <w:lang w:val="en-US"/>
        </w:rPr>
      </w:pPr>
      <w:r w:rsidRPr="00E43EDA">
        <w:rPr>
          <w:rFonts w:ascii="Tahoma" w:hAnsi="Tahoma" w:cs="Tahoma"/>
          <w:sz w:val="24"/>
          <w:szCs w:val="24"/>
          <w:lang w:val="en-US"/>
        </w:rPr>
        <w:t xml:space="preserve">As a starting point, this attempt to compare the impact of the increased control of the EU on </w:t>
      </w:r>
      <w:r w:rsidR="00511C8B" w:rsidRPr="00E43EDA">
        <w:rPr>
          <w:rFonts w:ascii="Tahoma" w:hAnsi="Tahoma" w:cs="Tahoma"/>
          <w:sz w:val="24"/>
          <w:szCs w:val="24"/>
          <w:lang w:val="en-US"/>
        </w:rPr>
        <w:t>budgetary</w:t>
      </w:r>
      <w:r w:rsidRPr="00E43EDA">
        <w:rPr>
          <w:rFonts w:ascii="Tahoma" w:hAnsi="Tahoma" w:cs="Tahoma"/>
          <w:sz w:val="24"/>
          <w:szCs w:val="24"/>
          <w:lang w:val="en-US"/>
        </w:rPr>
        <w:t xml:space="preserve"> matters </w:t>
      </w:r>
      <w:r w:rsidR="00C15E74" w:rsidRPr="00E43EDA">
        <w:rPr>
          <w:rFonts w:ascii="Tahoma" w:hAnsi="Tahoma" w:cs="Tahoma"/>
          <w:sz w:val="24"/>
          <w:szCs w:val="24"/>
          <w:lang w:val="en-US"/>
        </w:rPr>
        <w:t xml:space="preserve">with </w:t>
      </w:r>
      <w:r w:rsidR="002F5C44">
        <w:rPr>
          <w:rFonts w:ascii="Tahoma" w:hAnsi="Tahoma" w:cs="Tahoma"/>
          <w:sz w:val="24"/>
          <w:szCs w:val="24"/>
          <w:lang w:val="en-US"/>
        </w:rPr>
        <w:t xml:space="preserve">the adjustment programmes </w:t>
      </w:r>
      <w:r w:rsidRPr="00E43EDA">
        <w:rPr>
          <w:rFonts w:ascii="Tahoma" w:hAnsi="Tahoma" w:cs="Tahoma"/>
          <w:sz w:val="24"/>
          <w:szCs w:val="24"/>
          <w:lang w:val="en-US"/>
        </w:rPr>
        <w:t>may be surprising. Belgium and the Netherlands</w:t>
      </w:r>
      <w:r w:rsidR="009D4E44" w:rsidRPr="00E43EDA">
        <w:rPr>
          <w:rFonts w:ascii="Tahoma" w:hAnsi="Tahoma" w:cs="Tahoma"/>
          <w:sz w:val="24"/>
          <w:szCs w:val="24"/>
          <w:lang w:val="en-US"/>
        </w:rPr>
        <w:t xml:space="preserve"> are </w:t>
      </w:r>
      <w:r w:rsidRPr="00E43EDA">
        <w:rPr>
          <w:rFonts w:ascii="Tahoma" w:hAnsi="Tahoma" w:cs="Tahoma"/>
          <w:sz w:val="24"/>
          <w:szCs w:val="24"/>
          <w:lang w:val="en-US"/>
        </w:rPr>
        <w:t xml:space="preserve">on </w:t>
      </w:r>
      <w:r w:rsidR="009D4E44" w:rsidRPr="00E43EDA">
        <w:rPr>
          <w:rFonts w:ascii="Tahoma" w:hAnsi="Tahoma" w:cs="Tahoma"/>
          <w:sz w:val="24"/>
          <w:szCs w:val="24"/>
          <w:lang w:val="en-US"/>
        </w:rPr>
        <w:t>not considered to be strongly affected by the crisis.</w:t>
      </w:r>
      <w:r w:rsidR="009D4E44" w:rsidRPr="00E43EDA">
        <w:rPr>
          <w:rStyle w:val="FootnoteReference"/>
          <w:rFonts w:ascii="Tahoma" w:hAnsi="Tahoma" w:cs="Tahoma"/>
          <w:sz w:val="24"/>
          <w:szCs w:val="24"/>
          <w:lang w:val="en-US"/>
        </w:rPr>
        <w:footnoteReference w:id="1"/>
      </w:r>
      <w:r w:rsidR="009D4E44" w:rsidRPr="00E43EDA">
        <w:rPr>
          <w:rFonts w:ascii="Tahoma" w:hAnsi="Tahoma" w:cs="Tahoma"/>
          <w:sz w:val="24"/>
          <w:szCs w:val="24"/>
          <w:lang w:val="en-US"/>
        </w:rPr>
        <w:t xml:space="preserve"> </w:t>
      </w:r>
      <w:r w:rsidRPr="00E43EDA">
        <w:rPr>
          <w:rFonts w:ascii="Tahoma" w:hAnsi="Tahoma" w:cs="Tahoma"/>
          <w:sz w:val="24"/>
          <w:szCs w:val="24"/>
          <w:lang w:val="en-US"/>
        </w:rPr>
        <w:t xml:space="preserve">Portugal and Spain </w:t>
      </w:r>
      <w:r w:rsidR="00FC297D" w:rsidRPr="00E43EDA">
        <w:rPr>
          <w:rFonts w:ascii="Tahoma" w:hAnsi="Tahoma" w:cs="Tahoma"/>
          <w:sz w:val="24"/>
          <w:szCs w:val="24"/>
          <w:lang w:val="en-US"/>
        </w:rPr>
        <w:t>were strongly affected by the financial crisis and had to apply (and obtained) financial assistance of the EU</w:t>
      </w:r>
      <w:r w:rsidR="00C15E74" w:rsidRPr="00E43EDA">
        <w:rPr>
          <w:rFonts w:ascii="Tahoma" w:hAnsi="Tahoma" w:cs="Tahoma"/>
          <w:sz w:val="24"/>
          <w:szCs w:val="24"/>
          <w:lang w:val="en-US"/>
        </w:rPr>
        <w:t>, the European Central Bank and the International Monetary Fund</w:t>
      </w:r>
      <w:r w:rsidR="00FC297D" w:rsidRPr="00E43EDA">
        <w:rPr>
          <w:rFonts w:ascii="Tahoma" w:hAnsi="Tahoma" w:cs="Tahoma"/>
          <w:sz w:val="24"/>
          <w:szCs w:val="24"/>
          <w:lang w:val="en-US"/>
        </w:rPr>
        <w:t xml:space="preserve">. </w:t>
      </w:r>
      <w:r w:rsidR="002F5C44">
        <w:rPr>
          <w:rFonts w:ascii="Tahoma" w:hAnsi="Tahoma" w:cs="Tahoma"/>
          <w:sz w:val="24"/>
          <w:szCs w:val="24"/>
          <w:lang w:val="en-US"/>
        </w:rPr>
        <w:t>This f</w:t>
      </w:r>
      <w:r w:rsidR="00FC297D" w:rsidRPr="00E43EDA">
        <w:rPr>
          <w:rFonts w:ascii="Tahoma" w:hAnsi="Tahoma" w:cs="Tahoma"/>
          <w:sz w:val="24"/>
          <w:szCs w:val="24"/>
          <w:lang w:val="en-US"/>
        </w:rPr>
        <w:t>inancial as</w:t>
      </w:r>
      <w:r w:rsidR="00C15E74" w:rsidRPr="00E43EDA">
        <w:rPr>
          <w:rFonts w:ascii="Tahoma" w:hAnsi="Tahoma" w:cs="Tahoma"/>
          <w:sz w:val="24"/>
          <w:szCs w:val="24"/>
          <w:lang w:val="en-US"/>
        </w:rPr>
        <w:t xml:space="preserve">sistance was submitted to </w:t>
      </w:r>
      <w:r w:rsidR="002F5C44">
        <w:rPr>
          <w:rFonts w:ascii="Tahoma" w:hAnsi="Tahoma" w:cs="Tahoma"/>
          <w:sz w:val="24"/>
          <w:szCs w:val="24"/>
          <w:lang w:val="en-US"/>
        </w:rPr>
        <w:t xml:space="preserve">specific </w:t>
      </w:r>
      <w:r w:rsidR="00C15E74" w:rsidRPr="00E43EDA">
        <w:rPr>
          <w:rFonts w:ascii="Tahoma" w:hAnsi="Tahoma" w:cs="Tahoma"/>
          <w:sz w:val="24"/>
          <w:szCs w:val="24"/>
          <w:lang w:val="en-US"/>
        </w:rPr>
        <w:t>condi</w:t>
      </w:r>
      <w:r w:rsidR="00FC297D" w:rsidRPr="00E43EDA">
        <w:rPr>
          <w:rFonts w:ascii="Tahoma" w:hAnsi="Tahoma" w:cs="Tahoma"/>
          <w:sz w:val="24"/>
          <w:szCs w:val="24"/>
          <w:lang w:val="en-US"/>
        </w:rPr>
        <w:t xml:space="preserve">tions </w:t>
      </w:r>
      <w:r w:rsidR="002F5C44">
        <w:rPr>
          <w:rFonts w:ascii="Tahoma" w:hAnsi="Tahoma" w:cs="Tahoma"/>
          <w:sz w:val="24"/>
          <w:szCs w:val="24"/>
          <w:lang w:val="en-US"/>
        </w:rPr>
        <w:t xml:space="preserve">among which </w:t>
      </w:r>
      <w:r w:rsidR="00FC297D" w:rsidRPr="00E43EDA">
        <w:rPr>
          <w:rFonts w:ascii="Tahoma" w:hAnsi="Tahoma" w:cs="Tahoma"/>
          <w:sz w:val="24"/>
          <w:szCs w:val="24"/>
          <w:lang w:val="en-US"/>
        </w:rPr>
        <w:t>major cuts in the public se</w:t>
      </w:r>
      <w:r w:rsidR="002F5C44">
        <w:rPr>
          <w:rFonts w:ascii="Tahoma" w:hAnsi="Tahoma" w:cs="Tahoma"/>
          <w:sz w:val="24"/>
          <w:szCs w:val="24"/>
          <w:lang w:val="en-US"/>
        </w:rPr>
        <w:t>ctor spending</w:t>
      </w:r>
      <w:r w:rsidR="00FC297D" w:rsidRPr="00E43EDA">
        <w:rPr>
          <w:rFonts w:ascii="Tahoma" w:hAnsi="Tahoma" w:cs="Tahoma"/>
          <w:sz w:val="24"/>
          <w:szCs w:val="24"/>
          <w:lang w:val="en-US"/>
        </w:rPr>
        <w:t xml:space="preserve">. </w:t>
      </w:r>
      <w:r w:rsidRPr="00E43EDA">
        <w:rPr>
          <w:rFonts w:ascii="Tahoma" w:hAnsi="Tahoma" w:cs="Tahoma"/>
          <w:sz w:val="24"/>
          <w:szCs w:val="24"/>
          <w:lang w:val="en-US"/>
        </w:rPr>
        <w:t xml:space="preserve">However, the increased control upon the yearly budget for Belgium and the Netherlands </w:t>
      </w:r>
      <w:r w:rsidR="00C15E74" w:rsidRPr="00E43EDA">
        <w:rPr>
          <w:rFonts w:ascii="Tahoma" w:hAnsi="Tahoma" w:cs="Tahoma"/>
          <w:sz w:val="24"/>
          <w:szCs w:val="24"/>
          <w:lang w:val="en-US"/>
        </w:rPr>
        <w:t xml:space="preserve">also </w:t>
      </w:r>
      <w:r w:rsidRPr="00E43EDA">
        <w:rPr>
          <w:rFonts w:ascii="Tahoma" w:hAnsi="Tahoma" w:cs="Tahoma"/>
          <w:sz w:val="24"/>
          <w:szCs w:val="24"/>
          <w:lang w:val="en-US"/>
        </w:rPr>
        <w:t>implied important measures in the public sector and in public sector employment matters.</w:t>
      </w:r>
    </w:p>
    <w:p w:rsidR="008150A5" w:rsidRPr="00E43EDA" w:rsidRDefault="008150A5" w:rsidP="002F6413">
      <w:pPr>
        <w:jc w:val="both"/>
        <w:rPr>
          <w:rFonts w:ascii="Tahoma" w:hAnsi="Tahoma" w:cs="Tahoma"/>
          <w:sz w:val="24"/>
          <w:szCs w:val="24"/>
          <w:lang w:val="en-US"/>
        </w:rPr>
      </w:pPr>
      <w:r w:rsidRPr="00E43EDA">
        <w:rPr>
          <w:rFonts w:ascii="Tahoma" w:hAnsi="Tahoma" w:cs="Tahoma"/>
          <w:sz w:val="24"/>
          <w:szCs w:val="24"/>
          <w:lang w:val="en-US"/>
        </w:rPr>
        <w:t xml:space="preserve">This article will start with a short overview of the </w:t>
      </w:r>
      <w:proofErr w:type="gramStart"/>
      <w:r w:rsidR="00465C37" w:rsidRPr="00E43EDA">
        <w:rPr>
          <w:rFonts w:ascii="Tahoma" w:hAnsi="Tahoma" w:cs="Tahoma"/>
          <w:sz w:val="24"/>
          <w:szCs w:val="24"/>
          <w:lang w:val="en-US"/>
        </w:rPr>
        <w:t>conditions which</w:t>
      </w:r>
      <w:proofErr w:type="gramEnd"/>
      <w:r w:rsidR="00465C37" w:rsidRPr="00E43EDA">
        <w:rPr>
          <w:rFonts w:ascii="Tahoma" w:hAnsi="Tahoma" w:cs="Tahoma"/>
          <w:sz w:val="24"/>
          <w:szCs w:val="24"/>
          <w:lang w:val="en-US"/>
        </w:rPr>
        <w:t xml:space="preserve"> were granted to Spain and Portugal in order to obtain financial support. </w:t>
      </w:r>
      <w:r w:rsidR="00C15E74" w:rsidRPr="00E43EDA">
        <w:rPr>
          <w:rFonts w:ascii="Tahoma" w:hAnsi="Tahoma" w:cs="Tahoma"/>
          <w:sz w:val="24"/>
          <w:szCs w:val="24"/>
          <w:lang w:val="en-US"/>
        </w:rPr>
        <w:t xml:space="preserve">Afterwards, the </w:t>
      </w:r>
      <w:proofErr w:type="gramStart"/>
      <w:r w:rsidR="00C15E74" w:rsidRPr="00E43EDA">
        <w:rPr>
          <w:rFonts w:ascii="Tahoma" w:hAnsi="Tahoma" w:cs="Tahoma"/>
          <w:sz w:val="24"/>
          <w:szCs w:val="24"/>
          <w:lang w:val="en-US"/>
        </w:rPr>
        <w:t xml:space="preserve">conditions which Belgium and the Netherlands had to respect in order to </w:t>
      </w:r>
      <w:r w:rsidR="001D699B" w:rsidRPr="00E43EDA">
        <w:rPr>
          <w:rFonts w:ascii="Tahoma" w:hAnsi="Tahoma" w:cs="Tahoma"/>
          <w:sz w:val="24"/>
          <w:szCs w:val="24"/>
          <w:lang w:val="en-US"/>
        </w:rPr>
        <w:t>deal with their excessive</w:t>
      </w:r>
      <w:r w:rsidR="002F5C44">
        <w:rPr>
          <w:rFonts w:ascii="Tahoma" w:hAnsi="Tahoma" w:cs="Tahoma"/>
          <w:sz w:val="24"/>
          <w:szCs w:val="24"/>
          <w:lang w:val="en-US"/>
        </w:rPr>
        <w:t xml:space="preserve"> budget deficit</w:t>
      </w:r>
      <w:proofErr w:type="gramEnd"/>
      <w:r w:rsidR="002F5C44">
        <w:rPr>
          <w:rFonts w:ascii="Tahoma" w:hAnsi="Tahoma" w:cs="Tahoma"/>
          <w:sz w:val="24"/>
          <w:szCs w:val="24"/>
          <w:lang w:val="en-US"/>
        </w:rPr>
        <w:t xml:space="preserve"> will be indicated</w:t>
      </w:r>
      <w:r w:rsidR="001D699B" w:rsidRPr="00E43EDA">
        <w:rPr>
          <w:rFonts w:ascii="Tahoma" w:hAnsi="Tahoma" w:cs="Tahoma"/>
          <w:sz w:val="24"/>
          <w:szCs w:val="24"/>
          <w:lang w:val="en-US"/>
        </w:rPr>
        <w:t xml:space="preserve">. </w:t>
      </w:r>
      <w:r w:rsidR="002F5C44">
        <w:rPr>
          <w:rFonts w:ascii="Tahoma" w:hAnsi="Tahoma" w:cs="Tahoma"/>
          <w:sz w:val="24"/>
          <w:szCs w:val="24"/>
          <w:lang w:val="en-US"/>
        </w:rPr>
        <w:t xml:space="preserve">How these conditions were transposed </w:t>
      </w:r>
      <w:r w:rsidR="00E43EDA">
        <w:rPr>
          <w:rFonts w:ascii="Tahoma" w:hAnsi="Tahoma" w:cs="Tahoma"/>
          <w:sz w:val="24"/>
          <w:szCs w:val="24"/>
          <w:lang w:val="en-US"/>
        </w:rPr>
        <w:t>into national regul</w:t>
      </w:r>
      <w:r w:rsidR="002F5C44">
        <w:rPr>
          <w:rFonts w:ascii="Tahoma" w:hAnsi="Tahoma" w:cs="Tahoma"/>
          <w:sz w:val="24"/>
          <w:szCs w:val="24"/>
          <w:lang w:val="en-US"/>
        </w:rPr>
        <w:t>a</w:t>
      </w:r>
      <w:r w:rsidR="00E43EDA">
        <w:rPr>
          <w:rFonts w:ascii="Tahoma" w:hAnsi="Tahoma" w:cs="Tahoma"/>
          <w:sz w:val="24"/>
          <w:szCs w:val="24"/>
          <w:lang w:val="en-US"/>
        </w:rPr>
        <w:t xml:space="preserve">tion will be analyzed for each country. We will </w:t>
      </w:r>
      <w:r w:rsidR="002F5C44">
        <w:rPr>
          <w:rFonts w:ascii="Tahoma" w:hAnsi="Tahoma" w:cs="Tahoma"/>
          <w:sz w:val="24"/>
          <w:szCs w:val="24"/>
          <w:lang w:val="en-US"/>
        </w:rPr>
        <w:t xml:space="preserve">specifically </w:t>
      </w:r>
      <w:r w:rsidR="00E43EDA">
        <w:rPr>
          <w:rFonts w:ascii="Tahoma" w:hAnsi="Tahoma" w:cs="Tahoma"/>
          <w:sz w:val="24"/>
          <w:szCs w:val="24"/>
          <w:lang w:val="en-US"/>
        </w:rPr>
        <w:t xml:space="preserve">focus upon how the Member States studied dealt with social rights issues. Finally, attention will be paid to the role of the ILO and the EU in this perspective. The article will finish with some concluding remarks. </w:t>
      </w:r>
    </w:p>
    <w:p w:rsidR="00465C37" w:rsidRPr="00E43EDA" w:rsidRDefault="00465C37" w:rsidP="00465C37">
      <w:pPr>
        <w:pStyle w:val="ListParagraph"/>
        <w:numPr>
          <w:ilvl w:val="0"/>
          <w:numId w:val="8"/>
        </w:numPr>
        <w:jc w:val="both"/>
        <w:rPr>
          <w:rFonts w:ascii="Tahoma" w:hAnsi="Tahoma" w:cs="Tahoma"/>
          <w:sz w:val="24"/>
          <w:szCs w:val="24"/>
          <w:lang w:val="en-US"/>
        </w:rPr>
      </w:pPr>
      <w:r w:rsidRPr="00E43EDA">
        <w:rPr>
          <w:rFonts w:ascii="Tahoma" w:hAnsi="Tahoma" w:cs="Tahoma"/>
          <w:sz w:val="24"/>
          <w:szCs w:val="24"/>
          <w:lang w:val="en-US"/>
        </w:rPr>
        <w:t>General legal framework in order to obtain financial support</w:t>
      </w:r>
    </w:p>
    <w:p w:rsidR="00353445" w:rsidRPr="00E43EDA" w:rsidRDefault="00465C37" w:rsidP="002F6413">
      <w:pPr>
        <w:jc w:val="both"/>
        <w:rPr>
          <w:rFonts w:ascii="Tahoma" w:hAnsi="Tahoma" w:cs="Tahoma"/>
          <w:sz w:val="24"/>
          <w:szCs w:val="24"/>
          <w:lang w:val="en-US"/>
        </w:rPr>
      </w:pPr>
      <w:r w:rsidRPr="00E43EDA">
        <w:rPr>
          <w:rFonts w:ascii="Tahoma" w:hAnsi="Tahoma" w:cs="Tahoma"/>
          <w:sz w:val="24"/>
          <w:szCs w:val="24"/>
          <w:lang w:val="en-US"/>
        </w:rPr>
        <w:t xml:space="preserve">Portugal requested on 7 April 2011 financial </w:t>
      </w:r>
      <w:proofErr w:type="gramStart"/>
      <w:r w:rsidRPr="00E43EDA">
        <w:rPr>
          <w:rFonts w:ascii="Tahoma" w:hAnsi="Tahoma" w:cs="Tahoma"/>
          <w:sz w:val="24"/>
          <w:szCs w:val="24"/>
          <w:lang w:val="en-US"/>
        </w:rPr>
        <w:t>support</w:t>
      </w:r>
      <w:proofErr w:type="gramEnd"/>
      <w:r w:rsidR="003836C4">
        <w:rPr>
          <w:rFonts w:ascii="Tahoma" w:hAnsi="Tahoma" w:cs="Tahoma"/>
          <w:sz w:val="24"/>
          <w:szCs w:val="24"/>
          <w:lang w:val="en-US"/>
        </w:rPr>
        <w:t xml:space="preserve"> from the EU, the European Central Bank </w:t>
      </w:r>
      <w:r w:rsidRPr="00E43EDA">
        <w:rPr>
          <w:rFonts w:ascii="Tahoma" w:hAnsi="Tahoma" w:cs="Tahoma"/>
          <w:sz w:val="24"/>
          <w:szCs w:val="24"/>
          <w:lang w:val="en-US"/>
        </w:rPr>
        <w:t xml:space="preserve">and the International Monetary Fund. At that stage, </w:t>
      </w:r>
      <w:r w:rsidR="00C843C0" w:rsidRPr="00E43EDA">
        <w:rPr>
          <w:rFonts w:ascii="Tahoma" w:hAnsi="Tahoma" w:cs="Tahoma"/>
          <w:sz w:val="24"/>
          <w:szCs w:val="24"/>
          <w:lang w:val="en-US"/>
        </w:rPr>
        <w:t xml:space="preserve">Portugal had to negotiate a </w:t>
      </w:r>
      <w:r w:rsidR="00436EB4" w:rsidRPr="00E43EDA">
        <w:rPr>
          <w:rFonts w:ascii="Tahoma" w:hAnsi="Tahoma" w:cs="Tahoma"/>
          <w:sz w:val="24"/>
          <w:szCs w:val="24"/>
          <w:lang w:val="en-US"/>
        </w:rPr>
        <w:t xml:space="preserve">Memorandum of Understanding concerning the </w:t>
      </w:r>
      <w:r w:rsidR="00C843C0" w:rsidRPr="00E43EDA">
        <w:rPr>
          <w:rFonts w:ascii="Tahoma" w:hAnsi="Tahoma" w:cs="Tahoma"/>
          <w:sz w:val="24"/>
          <w:szCs w:val="24"/>
          <w:lang w:val="en-US"/>
        </w:rPr>
        <w:t>fina</w:t>
      </w:r>
      <w:r w:rsidR="00436EB4" w:rsidRPr="00E43EDA">
        <w:rPr>
          <w:rFonts w:ascii="Tahoma" w:hAnsi="Tahoma" w:cs="Tahoma"/>
          <w:sz w:val="24"/>
          <w:szCs w:val="24"/>
          <w:lang w:val="en-US"/>
        </w:rPr>
        <w:t>n</w:t>
      </w:r>
      <w:r w:rsidR="00C843C0" w:rsidRPr="00E43EDA">
        <w:rPr>
          <w:rFonts w:ascii="Tahoma" w:hAnsi="Tahoma" w:cs="Tahoma"/>
          <w:sz w:val="24"/>
          <w:szCs w:val="24"/>
          <w:lang w:val="en-US"/>
        </w:rPr>
        <w:t xml:space="preserve">cial and economic adjustment programme with the so-called Troika of European Union (European Commission), the European Central Bank and the International Monetary Fund. The </w:t>
      </w:r>
      <w:r w:rsidR="00C843C0" w:rsidRPr="00E43EDA">
        <w:rPr>
          <w:rFonts w:ascii="Tahoma" w:hAnsi="Tahoma" w:cs="Tahoma"/>
          <w:sz w:val="24"/>
          <w:szCs w:val="24"/>
          <w:lang w:val="en-US"/>
        </w:rPr>
        <w:lastRenderedPageBreak/>
        <w:t>troika lent Portugal 78 billion euro</w:t>
      </w:r>
      <w:r w:rsidR="004950A0" w:rsidRPr="00E43EDA">
        <w:rPr>
          <w:rFonts w:ascii="Tahoma" w:hAnsi="Tahoma" w:cs="Tahoma"/>
          <w:sz w:val="24"/>
          <w:szCs w:val="24"/>
          <w:lang w:val="en-US"/>
        </w:rPr>
        <w:t xml:space="preserve"> in May 2011</w:t>
      </w:r>
      <w:r w:rsidR="00C843C0" w:rsidRPr="00E43EDA">
        <w:rPr>
          <w:rFonts w:ascii="Tahoma" w:hAnsi="Tahoma" w:cs="Tahoma"/>
          <w:sz w:val="24"/>
          <w:szCs w:val="24"/>
          <w:lang w:val="en-US"/>
        </w:rPr>
        <w:t xml:space="preserve">. </w:t>
      </w:r>
      <w:proofErr w:type="gramStart"/>
      <w:r w:rsidR="00C843C0" w:rsidRPr="00E43EDA">
        <w:rPr>
          <w:rFonts w:ascii="Tahoma" w:hAnsi="Tahoma" w:cs="Tahoma"/>
          <w:sz w:val="24"/>
          <w:szCs w:val="24"/>
          <w:lang w:val="en-US"/>
        </w:rPr>
        <w:t>One third was financed by the IMF</w:t>
      </w:r>
      <w:proofErr w:type="gramEnd"/>
      <w:r w:rsidR="00C843C0" w:rsidRPr="00E43EDA">
        <w:rPr>
          <w:rFonts w:ascii="Tahoma" w:hAnsi="Tahoma" w:cs="Tahoma"/>
          <w:sz w:val="24"/>
          <w:szCs w:val="24"/>
          <w:lang w:val="en-US"/>
        </w:rPr>
        <w:t xml:space="preserve"> whil</w:t>
      </w:r>
      <w:r w:rsidR="001D699B" w:rsidRPr="00E43EDA">
        <w:rPr>
          <w:rFonts w:ascii="Tahoma" w:hAnsi="Tahoma" w:cs="Tahoma"/>
          <w:sz w:val="24"/>
          <w:szCs w:val="24"/>
          <w:lang w:val="en-US"/>
        </w:rPr>
        <w:t>e</w:t>
      </w:r>
      <w:r w:rsidR="00C843C0" w:rsidRPr="00E43EDA">
        <w:rPr>
          <w:rFonts w:ascii="Tahoma" w:hAnsi="Tahoma" w:cs="Tahoma"/>
          <w:sz w:val="24"/>
          <w:szCs w:val="24"/>
          <w:lang w:val="en-US"/>
        </w:rPr>
        <w:t xml:space="preserve"> the other thirds were respectively financed by </w:t>
      </w:r>
      <w:r w:rsidR="00C109C0" w:rsidRPr="00E43EDA">
        <w:rPr>
          <w:rFonts w:ascii="Tahoma" w:hAnsi="Tahoma" w:cs="Tahoma"/>
          <w:sz w:val="24"/>
          <w:szCs w:val="24"/>
          <w:lang w:val="en-US"/>
        </w:rPr>
        <w:t xml:space="preserve">the European Financial Stabilization Mechanism (EFSM) and the European Financial Stability Facility (EFSF). </w:t>
      </w:r>
      <w:proofErr w:type="gramStart"/>
      <w:r w:rsidR="004950A0" w:rsidRPr="00E43EDA">
        <w:rPr>
          <w:rFonts w:ascii="Tahoma" w:hAnsi="Tahoma" w:cs="Tahoma"/>
          <w:sz w:val="24"/>
          <w:szCs w:val="24"/>
          <w:lang w:val="en-US"/>
        </w:rPr>
        <w:t xml:space="preserve">These </w:t>
      </w:r>
      <w:r w:rsidR="003836C4">
        <w:rPr>
          <w:rFonts w:ascii="Tahoma" w:hAnsi="Tahoma" w:cs="Tahoma"/>
          <w:sz w:val="24"/>
          <w:szCs w:val="24"/>
          <w:lang w:val="en-US"/>
        </w:rPr>
        <w:t>last two</w:t>
      </w:r>
      <w:r w:rsidR="004950A0" w:rsidRPr="00E43EDA">
        <w:rPr>
          <w:rFonts w:ascii="Tahoma" w:hAnsi="Tahoma" w:cs="Tahoma"/>
          <w:sz w:val="24"/>
          <w:szCs w:val="24"/>
          <w:lang w:val="en-US"/>
        </w:rPr>
        <w:t xml:space="preserve"> institutions were later replaced by the European Stability Mechanism</w:t>
      </w:r>
      <w:proofErr w:type="gramEnd"/>
      <w:r w:rsidR="004950A0" w:rsidRPr="00E43EDA">
        <w:rPr>
          <w:rFonts w:ascii="Tahoma" w:hAnsi="Tahoma" w:cs="Tahoma"/>
          <w:sz w:val="24"/>
          <w:szCs w:val="24"/>
          <w:lang w:val="en-US"/>
        </w:rPr>
        <w:t>, after the signing of Treaty on the European Stability Mechanism</w:t>
      </w:r>
      <w:r w:rsidR="00720945" w:rsidRPr="00E43EDA">
        <w:rPr>
          <w:rFonts w:ascii="Tahoma" w:hAnsi="Tahoma" w:cs="Tahoma"/>
          <w:sz w:val="24"/>
          <w:szCs w:val="24"/>
          <w:lang w:val="en-US"/>
        </w:rPr>
        <w:t>. This treaty f</w:t>
      </w:r>
      <w:r w:rsidR="00CF68FC" w:rsidRPr="00E43EDA">
        <w:rPr>
          <w:rFonts w:ascii="Tahoma" w:hAnsi="Tahoma" w:cs="Tahoma"/>
          <w:sz w:val="24"/>
          <w:szCs w:val="24"/>
          <w:lang w:val="en-US"/>
        </w:rPr>
        <w:t>alls</w:t>
      </w:r>
      <w:r w:rsidR="00720945" w:rsidRPr="00E43EDA">
        <w:rPr>
          <w:rFonts w:ascii="Tahoma" w:hAnsi="Tahoma" w:cs="Tahoma"/>
          <w:sz w:val="24"/>
          <w:szCs w:val="24"/>
          <w:lang w:val="en-US"/>
        </w:rPr>
        <w:t xml:space="preserve"> outside the scope of the powers of the </w:t>
      </w:r>
      <w:proofErr w:type="gramStart"/>
      <w:r w:rsidR="00720945" w:rsidRPr="00E43EDA">
        <w:rPr>
          <w:rFonts w:ascii="Tahoma" w:hAnsi="Tahoma" w:cs="Tahoma"/>
          <w:sz w:val="24"/>
          <w:szCs w:val="24"/>
          <w:lang w:val="en-US"/>
        </w:rPr>
        <w:t>EU</w:t>
      </w:r>
      <w:proofErr w:type="gramEnd"/>
      <w:r w:rsidR="00CF68FC" w:rsidRPr="00E43EDA">
        <w:rPr>
          <w:rFonts w:ascii="Tahoma" w:hAnsi="Tahoma" w:cs="Tahoma"/>
          <w:sz w:val="24"/>
          <w:szCs w:val="24"/>
          <w:lang w:val="en-US"/>
        </w:rPr>
        <w:t xml:space="preserve"> as the Member States involved had not transferred any powers with regard to this competence to the EU.</w:t>
      </w:r>
      <w:r w:rsidR="00CF68FC" w:rsidRPr="00E43EDA">
        <w:rPr>
          <w:rStyle w:val="FootnoteReference"/>
          <w:rFonts w:ascii="Tahoma" w:hAnsi="Tahoma" w:cs="Tahoma"/>
          <w:sz w:val="24"/>
          <w:szCs w:val="24"/>
          <w:lang w:val="en-US"/>
        </w:rPr>
        <w:footnoteReference w:id="2"/>
      </w:r>
      <w:r w:rsidR="00720945" w:rsidRPr="00E43EDA">
        <w:rPr>
          <w:rFonts w:ascii="Tahoma" w:hAnsi="Tahoma" w:cs="Tahoma"/>
          <w:sz w:val="24"/>
          <w:szCs w:val="24"/>
          <w:lang w:val="en-US"/>
        </w:rPr>
        <w:t xml:space="preserve"> However, the EU </w:t>
      </w:r>
      <w:r w:rsidR="00353445" w:rsidRPr="00E43EDA">
        <w:rPr>
          <w:rFonts w:ascii="Tahoma" w:hAnsi="Tahoma" w:cs="Tahoma"/>
          <w:sz w:val="24"/>
          <w:szCs w:val="24"/>
          <w:lang w:val="en-US"/>
        </w:rPr>
        <w:t xml:space="preserve">Council </w:t>
      </w:r>
      <w:r w:rsidR="00720945" w:rsidRPr="00E43EDA">
        <w:rPr>
          <w:rFonts w:ascii="Tahoma" w:hAnsi="Tahoma" w:cs="Tahoma"/>
          <w:sz w:val="24"/>
          <w:szCs w:val="24"/>
          <w:lang w:val="en-US"/>
        </w:rPr>
        <w:t xml:space="preserve">considered it wise to adapt article 136 </w:t>
      </w:r>
      <w:r w:rsidR="00353445" w:rsidRPr="00E43EDA">
        <w:rPr>
          <w:rFonts w:ascii="Tahoma" w:hAnsi="Tahoma" w:cs="Tahoma"/>
          <w:sz w:val="24"/>
          <w:szCs w:val="24"/>
          <w:lang w:val="en-US"/>
        </w:rPr>
        <w:t xml:space="preserve">TFEU </w:t>
      </w:r>
      <w:r w:rsidR="00720945" w:rsidRPr="00E43EDA">
        <w:rPr>
          <w:rFonts w:ascii="Tahoma" w:hAnsi="Tahoma" w:cs="Tahoma"/>
          <w:sz w:val="24"/>
          <w:szCs w:val="24"/>
          <w:lang w:val="en-US"/>
        </w:rPr>
        <w:t xml:space="preserve">of the </w:t>
      </w:r>
      <w:r w:rsidR="00CF68FC" w:rsidRPr="00E43EDA">
        <w:rPr>
          <w:rFonts w:ascii="Tahoma" w:hAnsi="Tahoma" w:cs="Tahoma"/>
          <w:sz w:val="24"/>
          <w:szCs w:val="24"/>
          <w:lang w:val="en-US"/>
        </w:rPr>
        <w:t>European</w:t>
      </w:r>
      <w:r w:rsidR="00353445" w:rsidRPr="00E43EDA">
        <w:rPr>
          <w:rFonts w:ascii="Tahoma" w:hAnsi="Tahoma" w:cs="Tahoma"/>
          <w:sz w:val="24"/>
          <w:szCs w:val="24"/>
          <w:lang w:val="en-US"/>
        </w:rPr>
        <w:t xml:space="preserve"> Union</w:t>
      </w:r>
      <w:r w:rsidR="004950A0" w:rsidRPr="00E43EDA">
        <w:rPr>
          <w:rFonts w:ascii="Tahoma" w:hAnsi="Tahoma" w:cs="Tahoma"/>
          <w:sz w:val="24"/>
          <w:szCs w:val="24"/>
          <w:lang w:val="en-US"/>
        </w:rPr>
        <w:t xml:space="preserve">. </w:t>
      </w:r>
      <w:r w:rsidR="00353445" w:rsidRPr="00E43EDA">
        <w:rPr>
          <w:rFonts w:ascii="Tahoma" w:hAnsi="Tahoma" w:cs="Tahoma"/>
          <w:sz w:val="24"/>
          <w:szCs w:val="24"/>
          <w:lang w:val="en-US"/>
        </w:rPr>
        <w:t xml:space="preserve">The new third paragraph allowed the Member States </w:t>
      </w:r>
      <w:r w:rsidR="00511C8B" w:rsidRPr="00E43EDA">
        <w:rPr>
          <w:rFonts w:ascii="Tahoma" w:hAnsi="Tahoma" w:cs="Tahoma"/>
          <w:sz w:val="24"/>
          <w:szCs w:val="24"/>
          <w:lang w:val="en-US"/>
        </w:rPr>
        <w:t>participating</w:t>
      </w:r>
      <w:r w:rsidR="00353445" w:rsidRPr="00E43EDA">
        <w:rPr>
          <w:rFonts w:ascii="Tahoma" w:hAnsi="Tahoma" w:cs="Tahoma"/>
          <w:sz w:val="24"/>
          <w:szCs w:val="24"/>
          <w:lang w:val="en-US"/>
        </w:rPr>
        <w:t xml:space="preserve"> in the </w:t>
      </w:r>
      <w:r w:rsidR="00511C8B" w:rsidRPr="00E43EDA">
        <w:rPr>
          <w:rFonts w:ascii="Tahoma" w:hAnsi="Tahoma" w:cs="Tahoma"/>
          <w:sz w:val="24"/>
          <w:szCs w:val="24"/>
          <w:lang w:val="en-US"/>
        </w:rPr>
        <w:t>euro zone</w:t>
      </w:r>
      <w:r w:rsidR="00353445" w:rsidRPr="00E43EDA">
        <w:rPr>
          <w:rFonts w:ascii="Tahoma" w:hAnsi="Tahoma" w:cs="Tahoma"/>
          <w:sz w:val="24"/>
          <w:szCs w:val="24"/>
          <w:lang w:val="en-US"/>
        </w:rPr>
        <w:t xml:space="preserve"> to install a European Stability Mechanism, which they did with the European Stability Mechanism Treaty. </w:t>
      </w:r>
    </w:p>
    <w:p w:rsidR="00C843C0" w:rsidRPr="00E43EDA" w:rsidRDefault="004950A0" w:rsidP="002F6413">
      <w:pPr>
        <w:jc w:val="both"/>
        <w:rPr>
          <w:rFonts w:ascii="Tahoma" w:hAnsi="Tahoma" w:cs="Tahoma"/>
          <w:sz w:val="24"/>
          <w:szCs w:val="24"/>
          <w:lang w:val="en-US"/>
        </w:rPr>
      </w:pPr>
      <w:r w:rsidRPr="00E43EDA">
        <w:rPr>
          <w:rFonts w:ascii="Tahoma" w:hAnsi="Tahoma" w:cs="Tahoma"/>
          <w:sz w:val="24"/>
          <w:szCs w:val="24"/>
          <w:lang w:val="en-US"/>
        </w:rPr>
        <w:t xml:space="preserve">However, the EFSM and the EFSF still takes care of the money transfers and the control on the economic and financial adjustment programme for Portugal.  </w:t>
      </w:r>
    </w:p>
    <w:p w:rsidR="00C109C0" w:rsidRPr="00E43EDA" w:rsidRDefault="00C109C0" w:rsidP="002F6413">
      <w:pPr>
        <w:jc w:val="both"/>
        <w:rPr>
          <w:rFonts w:ascii="Tahoma" w:hAnsi="Tahoma" w:cs="Tahoma"/>
          <w:sz w:val="24"/>
          <w:szCs w:val="24"/>
          <w:lang w:val="en-US"/>
        </w:rPr>
      </w:pPr>
      <w:r w:rsidRPr="00E43EDA">
        <w:rPr>
          <w:rFonts w:ascii="Tahoma" w:hAnsi="Tahoma" w:cs="Tahoma"/>
          <w:sz w:val="24"/>
          <w:szCs w:val="24"/>
          <w:lang w:val="en-US"/>
        </w:rPr>
        <w:t xml:space="preserve">The </w:t>
      </w:r>
      <w:r w:rsidR="00E0004D" w:rsidRPr="00E43EDA">
        <w:rPr>
          <w:rFonts w:ascii="Tahoma" w:hAnsi="Tahoma" w:cs="Tahoma"/>
          <w:sz w:val="24"/>
          <w:szCs w:val="24"/>
          <w:lang w:val="en-US"/>
        </w:rPr>
        <w:t xml:space="preserve">current </w:t>
      </w:r>
      <w:r w:rsidR="00D61441" w:rsidRPr="00E43EDA">
        <w:rPr>
          <w:rFonts w:ascii="Tahoma" w:hAnsi="Tahoma" w:cs="Tahoma"/>
          <w:sz w:val="24"/>
          <w:szCs w:val="24"/>
          <w:lang w:val="en-US"/>
        </w:rPr>
        <w:t xml:space="preserve">mechanism is </w:t>
      </w:r>
      <w:r w:rsidR="003836C4">
        <w:rPr>
          <w:rFonts w:ascii="Tahoma" w:hAnsi="Tahoma" w:cs="Tahoma"/>
          <w:sz w:val="24"/>
          <w:szCs w:val="24"/>
          <w:lang w:val="en-US"/>
        </w:rPr>
        <w:t xml:space="preserve">thus </w:t>
      </w:r>
      <w:r w:rsidR="00D61441" w:rsidRPr="00E43EDA">
        <w:rPr>
          <w:rFonts w:ascii="Tahoma" w:hAnsi="Tahoma" w:cs="Tahoma"/>
          <w:sz w:val="24"/>
          <w:szCs w:val="24"/>
          <w:lang w:val="en-US"/>
        </w:rPr>
        <w:t>a full element of the EU and is founded in article 136</w:t>
      </w:r>
      <w:r w:rsidR="00995D7E" w:rsidRPr="00E43EDA">
        <w:rPr>
          <w:rFonts w:ascii="Tahoma" w:hAnsi="Tahoma" w:cs="Tahoma"/>
          <w:sz w:val="24"/>
          <w:szCs w:val="24"/>
          <w:lang w:val="en-US"/>
        </w:rPr>
        <w:t>, third paragraph of the</w:t>
      </w:r>
      <w:r w:rsidR="00D61441" w:rsidRPr="00E43EDA">
        <w:rPr>
          <w:rFonts w:ascii="Tahoma" w:hAnsi="Tahoma" w:cs="Tahoma"/>
          <w:sz w:val="24"/>
          <w:szCs w:val="24"/>
          <w:lang w:val="en-US"/>
        </w:rPr>
        <w:t xml:space="preserve"> TFEU.</w:t>
      </w:r>
      <w:r w:rsidR="00995D7E" w:rsidRPr="00E43EDA">
        <w:rPr>
          <w:rStyle w:val="FootnoteReference"/>
          <w:rFonts w:ascii="Tahoma" w:hAnsi="Tahoma" w:cs="Tahoma"/>
          <w:sz w:val="24"/>
          <w:szCs w:val="24"/>
          <w:lang w:val="en-US"/>
        </w:rPr>
        <w:footnoteReference w:id="3"/>
      </w:r>
      <w:r w:rsidR="00D61441" w:rsidRPr="00E43EDA">
        <w:rPr>
          <w:rFonts w:ascii="Tahoma" w:hAnsi="Tahoma" w:cs="Tahoma"/>
          <w:sz w:val="24"/>
          <w:szCs w:val="24"/>
          <w:lang w:val="en-US"/>
        </w:rPr>
        <w:t xml:space="preserve"> This article provides the following: </w:t>
      </w:r>
    </w:p>
    <w:p w:rsidR="001E71B8" w:rsidRPr="00E43EDA" w:rsidRDefault="00D61441" w:rsidP="001E71B8">
      <w:pPr>
        <w:autoSpaceDE w:val="0"/>
        <w:autoSpaceDN w:val="0"/>
        <w:adjustRightInd w:val="0"/>
        <w:spacing w:after="0" w:line="240" w:lineRule="auto"/>
        <w:rPr>
          <w:rFonts w:ascii="Tahoma" w:hAnsi="Tahoma" w:cs="Tahoma"/>
          <w:i/>
          <w:sz w:val="24"/>
          <w:szCs w:val="24"/>
          <w:lang w:val="en-US"/>
        </w:rPr>
      </w:pPr>
      <w:r w:rsidRPr="00E43EDA">
        <w:rPr>
          <w:rFonts w:ascii="Tahoma" w:hAnsi="Tahoma" w:cs="Tahoma"/>
          <w:sz w:val="24"/>
          <w:szCs w:val="24"/>
          <w:lang w:val="en-US"/>
        </w:rPr>
        <w:t>“</w:t>
      </w:r>
      <w:r w:rsidR="001E71B8" w:rsidRPr="00E43EDA">
        <w:rPr>
          <w:rFonts w:ascii="Tahoma" w:hAnsi="Tahoma" w:cs="Tahoma"/>
          <w:i/>
          <w:sz w:val="24"/>
          <w:szCs w:val="24"/>
          <w:lang w:val="en-US"/>
        </w:rPr>
        <w:t>In order to ensure the proper functioning of economic and monetary union, and in accordance with the relevant provisions of the Treaties, the Council shall, in accordance with the relevant procedure from among those referred to in Articles 121 and 126, with the exception of the procedure set out in Article 126(14), adopt measures specific to those Member States whose currency is the euro:</w:t>
      </w:r>
    </w:p>
    <w:p w:rsidR="001E71B8" w:rsidRPr="00E43EDA" w:rsidRDefault="001E71B8" w:rsidP="001E71B8">
      <w:pPr>
        <w:autoSpaceDE w:val="0"/>
        <w:autoSpaceDN w:val="0"/>
        <w:adjustRightInd w:val="0"/>
        <w:spacing w:after="0" w:line="240" w:lineRule="auto"/>
        <w:rPr>
          <w:rFonts w:ascii="Tahoma" w:hAnsi="Tahoma" w:cs="Tahoma"/>
          <w:i/>
          <w:sz w:val="24"/>
          <w:szCs w:val="24"/>
          <w:lang w:val="en-US"/>
        </w:rPr>
      </w:pPr>
    </w:p>
    <w:p w:rsidR="001E71B8" w:rsidRPr="00E43EDA" w:rsidRDefault="001E71B8" w:rsidP="001E71B8">
      <w:pPr>
        <w:autoSpaceDE w:val="0"/>
        <w:autoSpaceDN w:val="0"/>
        <w:adjustRightInd w:val="0"/>
        <w:spacing w:after="0" w:line="240" w:lineRule="auto"/>
        <w:rPr>
          <w:rFonts w:ascii="Tahoma" w:hAnsi="Tahoma" w:cs="Tahoma"/>
          <w:i/>
          <w:sz w:val="24"/>
          <w:szCs w:val="24"/>
          <w:lang w:val="en-US"/>
        </w:rPr>
      </w:pPr>
      <w:r w:rsidRPr="00E43EDA">
        <w:rPr>
          <w:rFonts w:ascii="Tahoma" w:hAnsi="Tahoma" w:cs="Tahoma"/>
          <w:i/>
          <w:sz w:val="24"/>
          <w:szCs w:val="24"/>
          <w:lang w:val="en-US"/>
        </w:rPr>
        <w:t xml:space="preserve">(a) </w:t>
      </w:r>
      <w:proofErr w:type="gramStart"/>
      <w:r w:rsidRPr="00E43EDA">
        <w:rPr>
          <w:rFonts w:ascii="Tahoma" w:hAnsi="Tahoma" w:cs="Tahoma"/>
          <w:i/>
          <w:sz w:val="24"/>
          <w:szCs w:val="24"/>
          <w:lang w:val="en-US"/>
        </w:rPr>
        <w:t>to</w:t>
      </w:r>
      <w:proofErr w:type="gramEnd"/>
      <w:r w:rsidRPr="00E43EDA">
        <w:rPr>
          <w:rFonts w:ascii="Tahoma" w:hAnsi="Tahoma" w:cs="Tahoma"/>
          <w:i/>
          <w:sz w:val="24"/>
          <w:szCs w:val="24"/>
          <w:lang w:val="en-US"/>
        </w:rPr>
        <w:t xml:space="preserve"> strengthen the coordination and surveillance of their budgetary discipline;</w:t>
      </w:r>
    </w:p>
    <w:p w:rsidR="001E71B8" w:rsidRPr="00E43EDA" w:rsidRDefault="001E71B8" w:rsidP="001E71B8">
      <w:pPr>
        <w:autoSpaceDE w:val="0"/>
        <w:autoSpaceDN w:val="0"/>
        <w:adjustRightInd w:val="0"/>
        <w:spacing w:after="0" w:line="240" w:lineRule="auto"/>
        <w:rPr>
          <w:rFonts w:ascii="Tahoma" w:hAnsi="Tahoma" w:cs="Tahoma"/>
          <w:i/>
          <w:sz w:val="24"/>
          <w:szCs w:val="24"/>
          <w:lang w:val="en-US"/>
        </w:rPr>
      </w:pPr>
      <w:r w:rsidRPr="00E43EDA">
        <w:rPr>
          <w:rFonts w:ascii="Tahoma" w:hAnsi="Tahoma" w:cs="Tahoma"/>
          <w:i/>
          <w:sz w:val="24"/>
          <w:szCs w:val="24"/>
          <w:lang w:val="en-US"/>
        </w:rPr>
        <w:t xml:space="preserve">(b) </w:t>
      </w:r>
      <w:proofErr w:type="gramStart"/>
      <w:r w:rsidRPr="00E43EDA">
        <w:rPr>
          <w:rFonts w:ascii="Tahoma" w:hAnsi="Tahoma" w:cs="Tahoma"/>
          <w:i/>
          <w:sz w:val="24"/>
          <w:szCs w:val="24"/>
          <w:lang w:val="en-US"/>
        </w:rPr>
        <w:t>to</w:t>
      </w:r>
      <w:proofErr w:type="gramEnd"/>
      <w:r w:rsidRPr="00E43EDA">
        <w:rPr>
          <w:rFonts w:ascii="Tahoma" w:hAnsi="Tahoma" w:cs="Tahoma"/>
          <w:i/>
          <w:sz w:val="24"/>
          <w:szCs w:val="24"/>
          <w:lang w:val="en-US"/>
        </w:rPr>
        <w:t xml:space="preserve"> set out economic policy guidelines for them, while ensuring that they are compatible with those adopted for the whole of the Union and are kept under surveillance.</w:t>
      </w:r>
    </w:p>
    <w:p w:rsidR="001E71B8" w:rsidRPr="00E43EDA" w:rsidRDefault="001E71B8" w:rsidP="001E71B8">
      <w:pPr>
        <w:autoSpaceDE w:val="0"/>
        <w:autoSpaceDN w:val="0"/>
        <w:adjustRightInd w:val="0"/>
        <w:spacing w:after="0" w:line="240" w:lineRule="auto"/>
        <w:rPr>
          <w:rFonts w:ascii="Tahoma" w:hAnsi="Tahoma" w:cs="Tahoma"/>
          <w:i/>
          <w:sz w:val="24"/>
          <w:szCs w:val="24"/>
          <w:lang w:val="en-US"/>
        </w:rPr>
      </w:pPr>
    </w:p>
    <w:p w:rsidR="001E71B8" w:rsidRPr="00E43EDA" w:rsidRDefault="001E71B8" w:rsidP="001E71B8">
      <w:pPr>
        <w:autoSpaceDE w:val="0"/>
        <w:autoSpaceDN w:val="0"/>
        <w:adjustRightInd w:val="0"/>
        <w:spacing w:after="0" w:line="240" w:lineRule="auto"/>
        <w:rPr>
          <w:rFonts w:ascii="Tahoma" w:hAnsi="Tahoma" w:cs="Tahoma"/>
          <w:i/>
          <w:sz w:val="24"/>
          <w:szCs w:val="24"/>
          <w:lang w:val="en-US"/>
        </w:rPr>
      </w:pPr>
      <w:r w:rsidRPr="00E43EDA">
        <w:rPr>
          <w:rFonts w:ascii="Tahoma" w:hAnsi="Tahoma" w:cs="Tahoma"/>
          <w:i/>
          <w:sz w:val="24"/>
          <w:szCs w:val="24"/>
          <w:lang w:val="en-US"/>
        </w:rPr>
        <w:t>2. For those measures set out in paragraph 1, only members of the Council representing Member States whose currency is the euro shall take part in the vote.</w:t>
      </w:r>
    </w:p>
    <w:p w:rsidR="001D699B" w:rsidRPr="00E43EDA" w:rsidRDefault="001D699B" w:rsidP="001E71B8">
      <w:pPr>
        <w:jc w:val="both"/>
        <w:rPr>
          <w:rFonts w:ascii="Tahoma" w:hAnsi="Tahoma" w:cs="Tahoma"/>
          <w:i/>
          <w:sz w:val="24"/>
          <w:szCs w:val="24"/>
          <w:lang w:val="en-US"/>
        </w:rPr>
      </w:pPr>
    </w:p>
    <w:p w:rsidR="00995D7E" w:rsidRPr="00E43EDA" w:rsidRDefault="001E71B8" w:rsidP="001E71B8">
      <w:pPr>
        <w:jc w:val="both"/>
        <w:rPr>
          <w:rFonts w:ascii="Tahoma" w:hAnsi="Tahoma" w:cs="Tahoma"/>
          <w:i/>
          <w:sz w:val="24"/>
          <w:szCs w:val="24"/>
          <w:lang w:val="en-US"/>
        </w:rPr>
      </w:pPr>
      <w:r w:rsidRPr="00E43EDA">
        <w:rPr>
          <w:rFonts w:ascii="Tahoma" w:hAnsi="Tahoma" w:cs="Tahoma"/>
          <w:i/>
          <w:sz w:val="24"/>
          <w:szCs w:val="24"/>
          <w:lang w:val="en-US"/>
        </w:rPr>
        <w:t>A qualified majority of the said members shall be defined in accordance with Article 238(3)(a).</w:t>
      </w:r>
    </w:p>
    <w:p w:rsidR="00D61441" w:rsidRPr="00E43EDA" w:rsidRDefault="00995D7E" w:rsidP="00995D7E">
      <w:pPr>
        <w:jc w:val="both"/>
        <w:rPr>
          <w:rFonts w:ascii="Tahoma" w:hAnsi="Tahoma" w:cs="Tahoma"/>
          <w:i/>
          <w:sz w:val="24"/>
          <w:szCs w:val="24"/>
          <w:lang w:val="en-US"/>
        </w:rPr>
      </w:pPr>
      <w:r w:rsidRPr="00E43EDA">
        <w:rPr>
          <w:rFonts w:ascii="Tahoma" w:hAnsi="Tahoma" w:cs="Tahoma"/>
          <w:i/>
          <w:sz w:val="24"/>
          <w:szCs w:val="24"/>
          <w:lang w:val="en-US"/>
        </w:rPr>
        <w:t>The Member States whose currency is the euro, may establish a mechanism such as the European Stability Mechanism (ESM) so long as that mechanism is only activated when indispensable to safeguarding the stability of the euro area as a whole, and only if the financial assistance is made subject to strict conditionality</w:t>
      </w:r>
      <w:r w:rsidR="001E71B8" w:rsidRPr="00E43EDA">
        <w:rPr>
          <w:rFonts w:ascii="Tahoma" w:hAnsi="Tahoma" w:cs="Tahoma"/>
          <w:i/>
          <w:sz w:val="24"/>
          <w:szCs w:val="24"/>
          <w:lang w:val="en-US"/>
        </w:rPr>
        <w:t>”</w:t>
      </w:r>
    </w:p>
    <w:p w:rsidR="00995D7E" w:rsidRPr="00E43EDA" w:rsidRDefault="00995D7E" w:rsidP="00995D7E">
      <w:pPr>
        <w:jc w:val="both"/>
        <w:rPr>
          <w:rFonts w:ascii="Tahoma" w:hAnsi="Tahoma" w:cs="Tahoma"/>
          <w:sz w:val="24"/>
          <w:szCs w:val="24"/>
          <w:lang w:val="en-US"/>
        </w:rPr>
      </w:pPr>
      <w:r w:rsidRPr="00E43EDA">
        <w:rPr>
          <w:rFonts w:ascii="Tahoma" w:hAnsi="Tahoma" w:cs="Tahoma"/>
          <w:sz w:val="24"/>
          <w:szCs w:val="24"/>
          <w:lang w:val="en-US"/>
        </w:rPr>
        <w:lastRenderedPageBreak/>
        <w:t>This third paragraph was originally foreseen to enter into force on 1 January 2013 but it was postponed due to the fact that the Czech Republic completed the ratification of this modification only in April 2013. The original date namely only counted in case all concerned member States had successfully completed the approval taking into account their domestic constitutional requirements. This finally led to the entry into force of this stipulation on 1 May 2013.</w:t>
      </w:r>
    </w:p>
    <w:p w:rsidR="001E71B8" w:rsidRPr="00E43EDA" w:rsidRDefault="00995D7E" w:rsidP="001E71B8">
      <w:pPr>
        <w:jc w:val="both"/>
        <w:rPr>
          <w:rFonts w:ascii="Tahoma" w:hAnsi="Tahoma" w:cs="Tahoma"/>
          <w:sz w:val="24"/>
          <w:szCs w:val="24"/>
          <w:lang w:val="en-US"/>
        </w:rPr>
      </w:pPr>
      <w:r w:rsidRPr="00E43EDA">
        <w:rPr>
          <w:rFonts w:ascii="Tahoma" w:hAnsi="Tahoma" w:cs="Tahoma"/>
          <w:sz w:val="24"/>
          <w:szCs w:val="24"/>
          <w:lang w:val="en-US"/>
        </w:rPr>
        <w:t>However</w:t>
      </w:r>
      <w:r w:rsidR="005F43F5" w:rsidRPr="00E43EDA">
        <w:rPr>
          <w:rFonts w:ascii="Tahoma" w:hAnsi="Tahoma" w:cs="Tahoma"/>
          <w:sz w:val="24"/>
          <w:szCs w:val="24"/>
          <w:lang w:val="en-US"/>
        </w:rPr>
        <w:t xml:space="preserve">, the </w:t>
      </w:r>
      <w:r w:rsidR="00E0004D" w:rsidRPr="00E43EDA">
        <w:rPr>
          <w:rFonts w:ascii="Tahoma" w:hAnsi="Tahoma" w:cs="Tahoma"/>
          <w:sz w:val="24"/>
          <w:szCs w:val="24"/>
          <w:lang w:val="en-US"/>
        </w:rPr>
        <w:t xml:space="preserve">Treaty establishing the </w:t>
      </w:r>
      <w:r w:rsidR="005F43F5" w:rsidRPr="00E43EDA">
        <w:rPr>
          <w:rFonts w:ascii="Tahoma" w:hAnsi="Tahoma" w:cs="Tahoma"/>
          <w:sz w:val="24"/>
          <w:szCs w:val="24"/>
          <w:lang w:val="en-US"/>
        </w:rPr>
        <w:t xml:space="preserve">European Stability Mechanism </w:t>
      </w:r>
      <w:r w:rsidRPr="00E43EDA">
        <w:rPr>
          <w:rFonts w:ascii="Tahoma" w:hAnsi="Tahoma" w:cs="Tahoma"/>
          <w:sz w:val="24"/>
          <w:szCs w:val="24"/>
          <w:lang w:val="en-US"/>
        </w:rPr>
        <w:t xml:space="preserve">itself </w:t>
      </w:r>
      <w:r w:rsidR="005F43F5" w:rsidRPr="00E43EDA">
        <w:rPr>
          <w:rFonts w:ascii="Tahoma" w:hAnsi="Tahoma" w:cs="Tahoma"/>
          <w:sz w:val="24"/>
          <w:szCs w:val="24"/>
          <w:lang w:val="en-US"/>
        </w:rPr>
        <w:t xml:space="preserve">was signed on </w:t>
      </w:r>
      <w:r w:rsidR="00161969" w:rsidRPr="00E43EDA">
        <w:rPr>
          <w:rFonts w:ascii="Tahoma" w:hAnsi="Tahoma" w:cs="Tahoma"/>
          <w:sz w:val="24"/>
          <w:szCs w:val="24"/>
          <w:lang w:val="en-US"/>
        </w:rPr>
        <w:t>2 February 2012</w:t>
      </w:r>
      <w:r w:rsidR="00E0004D" w:rsidRPr="00E43EDA">
        <w:rPr>
          <w:rFonts w:ascii="Tahoma" w:hAnsi="Tahoma" w:cs="Tahoma"/>
          <w:sz w:val="24"/>
          <w:szCs w:val="24"/>
          <w:lang w:val="en-US"/>
        </w:rPr>
        <w:t xml:space="preserve"> and entered into force on 27 September 2012 after the German ratification, as this ratification (which was considered not to violate the German Basic law, according to the Bundesverfassungsgericht</w:t>
      </w:r>
      <w:r w:rsidR="00E0004D" w:rsidRPr="00E43EDA">
        <w:rPr>
          <w:rStyle w:val="FootnoteReference"/>
          <w:rFonts w:ascii="Tahoma" w:hAnsi="Tahoma" w:cs="Tahoma"/>
          <w:sz w:val="24"/>
          <w:szCs w:val="24"/>
          <w:lang w:val="en-US"/>
        </w:rPr>
        <w:footnoteReference w:id="4"/>
      </w:r>
      <w:r w:rsidR="00E0004D" w:rsidRPr="00E43EDA">
        <w:rPr>
          <w:rFonts w:ascii="Tahoma" w:hAnsi="Tahoma" w:cs="Tahoma"/>
          <w:sz w:val="24"/>
          <w:szCs w:val="24"/>
          <w:lang w:val="en-US"/>
        </w:rPr>
        <w:t xml:space="preserve">) made that 90% of the </w:t>
      </w:r>
      <w:proofErr w:type="gramStart"/>
      <w:r w:rsidR="00E0004D" w:rsidRPr="00E43EDA">
        <w:rPr>
          <w:rFonts w:ascii="Tahoma" w:hAnsi="Tahoma" w:cs="Tahoma"/>
          <w:sz w:val="24"/>
          <w:szCs w:val="24"/>
          <w:lang w:val="en-US"/>
        </w:rPr>
        <w:t>subscriptions</w:t>
      </w:r>
      <w:proofErr w:type="gramEnd"/>
      <w:r w:rsidR="00E0004D" w:rsidRPr="00E43EDA">
        <w:rPr>
          <w:rFonts w:ascii="Tahoma" w:hAnsi="Tahoma" w:cs="Tahoma"/>
          <w:sz w:val="24"/>
          <w:szCs w:val="24"/>
          <w:lang w:val="en-US"/>
        </w:rPr>
        <w:t xml:space="preserve"> had rati</w:t>
      </w:r>
      <w:r w:rsidRPr="00E43EDA">
        <w:rPr>
          <w:rFonts w:ascii="Tahoma" w:hAnsi="Tahoma" w:cs="Tahoma"/>
          <w:sz w:val="24"/>
          <w:szCs w:val="24"/>
          <w:lang w:val="en-US"/>
        </w:rPr>
        <w:t>fied the Treaty. This condition was foreseen in article 48 of this Treaty.</w:t>
      </w:r>
      <w:r w:rsidR="005F43F5" w:rsidRPr="00E43EDA">
        <w:rPr>
          <w:rFonts w:ascii="Tahoma" w:hAnsi="Tahoma" w:cs="Tahoma"/>
          <w:sz w:val="24"/>
          <w:szCs w:val="24"/>
          <w:lang w:val="en-US"/>
        </w:rPr>
        <w:t xml:space="preserve"> </w:t>
      </w:r>
      <w:r w:rsidR="00436EB4" w:rsidRPr="00E43EDA">
        <w:rPr>
          <w:rFonts w:ascii="Tahoma" w:hAnsi="Tahoma" w:cs="Tahoma"/>
          <w:sz w:val="24"/>
          <w:szCs w:val="24"/>
          <w:lang w:val="en-US"/>
        </w:rPr>
        <w:t>Due</w:t>
      </w:r>
      <w:r w:rsidR="00DE0A54" w:rsidRPr="00E43EDA">
        <w:rPr>
          <w:rFonts w:ascii="Tahoma" w:hAnsi="Tahoma" w:cs="Tahoma"/>
          <w:sz w:val="24"/>
          <w:szCs w:val="24"/>
          <w:lang w:val="en-US"/>
        </w:rPr>
        <w:t xml:space="preserve"> to this ratification, the Treaty establishing the ESM became operational in December 2012.</w:t>
      </w:r>
    </w:p>
    <w:p w:rsidR="0053256E" w:rsidRPr="00E43EDA" w:rsidRDefault="00995D7E" w:rsidP="00353445">
      <w:pPr>
        <w:jc w:val="both"/>
        <w:rPr>
          <w:rFonts w:ascii="Tahoma" w:hAnsi="Tahoma" w:cs="Tahoma"/>
          <w:sz w:val="24"/>
          <w:szCs w:val="24"/>
          <w:lang w:val="en-US"/>
        </w:rPr>
      </w:pPr>
      <w:r w:rsidRPr="00E43EDA">
        <w:rPr>
          <w:rFonts w:ascii="Tahoma" w:hAnsi="Tahoma" w:cs="Tahoma"/>
          <w:sz w:val="24"/>
          <w:szCs w:val="24"/>
          <w:lang w:val="en-US"/>
        </w:rPr>
        <w:t xml:space="preserve">It leads to a complex legal framework given the fact that Spain applied for </w:t>
      </w:r>
      <w:r w:rsidR="003836C4">
        <w:rPr>
          <w:rFonts w:ascii="Tahoma" w:hAnsi="Tahoma" w:cs="Tahoma"/>
          <w:sz w:val="24"/>
          <w:szCs w:val="24"/>
          <w:lang w:val="en-US"/>
        </w:rPr>
        <w:t xml:space="preserve">external </w:t>
      </w:r>
      <w:r w:rsidRPr="00E43EDA">
        <w:rPr>
          <w:rFonts w:ascii="Tahoma" w:hAnsi="Tahoma" w:cs="Tahoma"/>
          <w:sz w:val="24"/>
          <w:szCs w:val="24"/>
          <w:lang w:val="en-US"/>
        </w:rPr>
        <w:t>financial assistance on 25 April 2012</w:t>
      </w:r>
      <w:r w:rsidR="0053256E" w:rsidRPr="00E43EDA">
        <w:rPr>
          <w:rFonts w:ascii="Tahoma" w:hAnsi="Tahoma" w:cs="Tahoma"/>
          <w:sz w:val="24"/>
          <w:szCs w:val="24"/>
          <w:lang w:val="en-US"/>
        </w:rPr>
        <w:t xml:space="preserve"> under the terms of the Financial Assistance for the Recapitalisation of Financial Institutions by the European Financial Stability Facility (EFSF)</w:t>
      </w:r>
      <w:r w:rsidRPr="00E43EDA">
        <w:rPr>
          <w:rFonts w:ascii="Tahoma" w:hAnsi="Tahoma" w:cs="Tahoma"/>
          <w:sz w:val="24"/>
          <w:szCs w:val="24"/>
          <w:lang w:val="en-US"/>
        </w:rPr>
        <w:t xml:space="preserve">. </w:t>
      </w:r>
      <w:r w:rsidR="0053256E" w:rsidRPr="00E43EDA">
        <w:rPr>
          <w:rFonts w:ascii="Tahoma" w:hAnsi="Tahoma" w:cs="Tahoma"/>
          <w:sz w:val="24"/>
          <w:szCs w:val="24"/>
          <w:lang w:val="en-US"/>
        </w:rPr>
        <w:t>However, by the time that the financial sector adjustment programme for Spain was initiated the European Sta</w:t>
      </w:r>
      <w:r w:rsidR="00353445" w:rsidRPr="00E43EDA">
        <w:rPr>
          <w:rFonts w:ascii="Tahoma" w:hAnsi="Tahoma" w:cs="Tahoma"/>
          <w:sz w:val="24"/>
          <w:szCs w:val="24"/>
          <w:lang w:val="en-US"/>
        </w:rPr>
        <w:t>b</w:t>
      </w:r>
      <w:r w:rsidR="0053256E" w:rsidRPr="00E43EDA">
        <w:rPr>
          <w:rFonts w:ascii="Tahoma" w:hAnsi="Tahoma" w:cs="Tahoma"/>
          <w:sz w:val="24"/>
          <w:szCs w:val="24"/>
          <w:lang w:val="en-US"/>
        </w:rPr>
        <w:t xml:space="preserve">ility Mechanism had taken these tasks </w:t>
      </w:r>
      <w:r w:rsidR="003836C4">
        <w:rPr>
          <w:rFonts w:ascii="Tahoma" w:hAnsi="Tahoma" w:cs="Tahoma"/>
          <w:sz w:val="24"/>
          <w:szCs w:val="24"/>
          <w:lang w:val="en-US"/>
        </w:rPr>
        <w:t xml:space="preserve">over </w:t>
      </w:r>
      <w:r w:rsidR="0053256E" w:rsidRPr="00E43EDA">
        <w:rPr>
          <w:rFonts w:ascii="Tahoma" w:hAnsi="Tahoma" w:cs="Tahoma"/>
          <w:sz w:val="24"/>
          <w:szCs w:val="24"/>
          <w:lang w:val="en-US"/>
        </w:rPr>
        <w:t xml:space="preserve">as part of their burden. </w:t>
      </w:r>
    </w:p>
    <w:p w:rsidR="00DE0A54" w:rsidRPr="00E43EDA" w:rsidRDefault="00DE0A54" w:rsidP="0053256E">
      <w:pPr>
        <w:autoSpaceDE w:val="0"/>
        <w:autoSpaceDN w:val="0"/>
        <w:adjustRightInd w:val="0"/>
        <w:spacing w:after="0" w:line="240" w:lineRule="auto"/>
        <w:rPr>
          <w:rFonts w:ascii="Tahoma" w:hAnsi="Tahoma" w:cs="Tahoma"/>
          <w:sz w:val="24"/>
          <w:szCs w:val="24"/>
          <w:lang w:val="en-US"/>
        </w:rPr>
      </w:pPr>
      <w:r w:rsidRPr="00E43EDA">
        <w:rPr>
          <w:rFonts w:ascii="Tahoma" w:hAnsi="Tahoma" w:cs="Tahoma"/>
          <w:sz w:val="24"/>
          <w:szCs w:val="24"/>
          <w:lang w:val="en-US"/>
        </w:rPr>
        <w:t>The Financial Sec</w:t>
      </w:r>
      <w:r w:rsidR="0053256E" w:rsidRPr="00E43EDA">
        <w:rPr>
          <w:rFonts w:ascii="Tahoma" w:hAnsi="Tahoma" w:cs="Tahoma"/>
          <w:sz w:val="24"/>
          <w:szCs w:val="24"/>
          <w:lang w:val="en-US"/>
        </w:rPr>
        <w:t>t</w:t>
      </w:r>
      <w:r w:rsidRPr="00E43EDA">
        <w:rPr>
          <w:rFonts w:ascii="Tahoma" w:hAnsi="Tahoma" w:cs="Tahoma"/>
          <w:sz w:val="24"/>
          <w:szCs w:val="24"/>
          <w:lang w:val="en-US"/>
        </w:rPr>
        <w:t xml:space="preserve">or Adjustment Programme for Spain, published in October 2012, states explicitly that: </w:t>
      </w:r>
    </w:p>
    <w:p w:rsidR="00DE0A54" w:rsidRPr="00E43EDA" w:rsidRDefault="00DE0A54" w:rsidP="00DE0A54">
      <w:pPr>
        <w:autoSpaceDE w:val="0"/>
        <w:autoSpaceDN w:val="0"/>
        <w:adjustRightInd w:val="0"/>
        <w:spacing w:after="0" w:line="240" w:lineRule="auto"/>
        <w:rPr>
          <w:rFonts w:ascii="Tahoma" w:hAnsi="Tahoma" w:cs="Tahoma"/>
          <w:sz w:val="24"/>
          <w:szCs w:val="24"/>
          <w:lang w:val="en-US"/>
        </w:rPr>
      </w:pPr>
    </w:p>
    <w:p w:rsidR="00995D7E" w:rsidRPr="00E43EDA" w:rsidRDefault="00DE0A54" w:rsidP="00DE0A54">
      <w:pPr>
        <w:autoSpaceDE w:val="0"/>
        <w:autoSpaceDN w:val="0"/>
        <w:adjustRightInd w:val="0"/>
        <w:spacing w:after="0" w:line="240" w:lineRule="auto"/>
        <w:jc w:val="both"/>
        <w:rPr>
          <w:rFonts w:ascii="TimesNewRoman" w:hAnsi="TimesNewRoman" w:cs="TimesNewRoman"/>
          <w:sz w:val="24"/>
          <w:szCs w:val="24"/>
          <w:lang w:val="en-US"/>
        </w:rPr>
      </w:pPr>
      <w:r w:rsidRPr="00E43EDA">
        <w:rPr>
          <w:rFonts w:ascii="Tahoma" w:hAnsi="Tahoma" w:cs="Tahoma"/>
          <w:sz w:val="24"/>
          <w:szCs w:val="24"/>
          <w:lang w:val="en-US"/>
        </w:rPr>
        <w:t>“</w:t>
      </w:r>
      <w:r w:rsidRPr="00E43EDA">
        <w:rPr>
          <w:rFonts w:ascii="Tahoma" w:hAnsi="Tahoma" w:cs="Tahoma"/>
          <w:i/>
          <w:sz w:val="24"/>
          <w:szCs w:val="24"/>
          <w:lang w:val="en-US"/>
        </w:rPr>
        <w:t>The Heads of State and Government at the Euro Area Summit of 29 June 2012 specified that the assistance will subsequently be taken over by the European Stability Mechanism (ESM), once this institution is fully operational, without gaining seniority status</w:t>
      </w:r>
      <w:r w:rsidRPr="00E43EDA">
        <w:rPr>
          <w:rFonts w:ascii="TimesNewRoman" w:hAnsi="TimesNewRoman" w:cs="TimesNewRoman"/>
          <w:sz w:val="24"/>
          <w:szCs w:val="24"/>
          <w:lang w:val="en-US"/>
        </w:rPr>
        <w:t>.”</w:t>
      </w:r>
      <w:r w:rsidRPr="00E43EDA">
        <w:rPr>
          <w:rStyle w:val="FootnoteReference"/>
          <w:rFonts w:ascii="TimesNewRoman" w:hAnsi="TimesNewRoman" w:cs="TimesNewRoman"/>
          <w:sz w:val="24"/>
          <w:szCs w:val="24"/>
          <w:lang w:val="en-US"/>
        </w:rPr>
        <w:footnoteReference w:id="5"/>
      </w:r>
    </w:p>
    <w:p w:rsidR="00DE0A54" w:rsidRPr="00E43EDA" w:rsidRDefault="00DE0A54" w:rsidP="00DE0A54">
      <w:pPr>
        <w:autoSpaceDE w:val="0"/>
        <w:autoSpaceDN w:val="0"/>
        <w:adjustRightInd w:val="0"/>
        <w:spacing w:after="0" w:line="240" w:lineRule="auto"/>
        <w:jc w:val="both"/>
        <w:rPr>
          <w:rFonts w:ascii="TimesNewRoman" w:hAnsi="TimesNewRoman" w:cs="TimesNewRoman"/>
          <w:sz w:val="24"/>
          <w:szCs w:val="24"/>
          <w:lang w:val="en-US"/>
        </w:rPr>
      </w:pPr>
    </w:p>
    <w:p w:rsidR="001D699B" w:rsidRPr="00E43EDA" w:rsidRDefault="00353445" w:rsidP="00353445">
      <w:pPr>
        <w:jc w:val="both"/>
        <w:rPr>
          <w:rFonts w:ascii="Tahoma" w:hAnsi="Tahoma" w:cs="Tahoma"/>
          <w:sz w:val="24"/>
          <w:szCs w:val="24"/>
          <w:lang w:val="en-US"/>
        </w:rPr>
      </w:pPr>
      <w:r w:rsidRPr="00E43EDA">
        <w:rPr>
          <w:rFonts w:ascii="Tahoma" w:hAnsi="Tahoma" w:cs="Tahoma"/>
          <w:sz w:val="24"/>
          <w:szCs w:val="24"/>
          <w:lang w:val="en-US"/>
        </w:rPr>
        <w:t xml:space="preserve">As said, Portugal applied in 2011 for economic and financial support. Here, the EFSM and the EFSF still takes care of the money transfers and the control on the economic and financial adjustment programme for Portugal. </w:t>
      </w:r>
      <w:r w:rsidR="00DE0A54" w:rsidRPr="00E43EDA">
        <w:rPr>
          <w:rFonts w:ascii="Tahoma" w:hAnsi="Tahoma" w:cs="Tahoma"/>
          <w:sz w:val="24"/>
          <w:szCs w:val="24"/>
          <w:lang w:val="en-US"/>
        </w:rPr>
        <w:t xml:space="preserve">This leads to the </w:t>
      </w:r>
      <w:proofErr w:type="gramStart"/>
      <w:r w:rsidR="001D699B" w:rsidRPr="00E43EDA">
        <w:rPr>
          <w:rFonts w:ascii="Tahoma" w:hAnsi="Tahoma" w:cs="Tahoma"/>
          <w:sz w:val="24"/>
          <w:szCs w:val="24"/>
          <w:lang w:val="en-US"/>
        </w:rPr>
        <w:t xml:space="preserve">conclusion </w:t>
      </w:r>
      <w:r w:rsidR="00DE0A54" w:rsidRPr="00E43EDA">
        <w:rPr>
          <w:rFonts w:ascii="Tahoma" w:hAnsi="Tahoma" w:cs="Tahoma"/>
          <w:sz w:val="24"/>
          <w:szCs w:val="24"/>
          <w:lang w:val="en-US"/>
        </w:rPr>
        <w:t>that the framework under which Portugal and Spain requested for support were</w:t>
      </w:r>
      <w:proofErr w:type="gramEnd"/>
      <w:r w:rsidR="00DE0A54" w:rsidRPr="00E43EDA">
        <w:rPr>
          <w:rFonts w:ascii="Tahoma" w:hAnsi="Tahoma" w:cs="Tahoma"/>
          <w:sz w:val="24"/>
          <w:szCs w:val="24"/>
          <w:lang w:val="en-US"/>
        </w:rPr>
        <w:t xml:space="preserve"> and are different. However, the aim of this paper is not to research those differences</w:t>
      </w:r>
      <w:r w:rsidR="00DE0A54" w:rsidRPr="00E43EDA">
        <w:rPr>
          <w:rStyle w:val="FootnoteReference"/>
          <w:rFonts w:ascii="Tahoma" w:hAnsi="Tahoma" w:cs="Tahoma"/>
          <w:sz w:val="24"/>
          <w:szCs w:val="24"/>
          <w:lang w:val="en-US"/>
        </w:rPr>
        <w:footnoteReference w:id="6"/>
      </w:r>
      <w:r w:rsidR="00DE0A54" w:rsidRPr="00E43EDA">
        <w:rPr>
          <w:rFonts w:ascii="Tahoma" w:hAnsi="Tahoma" w:cs="Tahoma"/>
          <w:sz w:val="24"/>
          <w:szCs w:val="24"/>
          <w:lang w:val="en-US"/>
        </w:rPr>
        <w:t xml:space="preserve"> but to research the impact of the conditions, requested in these programmes </w:t>
      </w:r>
      <w:r w:rsidR="008A69F0" w:rsidRPr="00E43EDA">
        <w:rPr>
          <w:rFonts w:ascii="Tahoma" w:hAnsi="Tahoma" w:cs="Tahoma"/>
          <w:sz w:val="24"/>
          <w:szCs w:val="24"/>
          <w:lang w:val="en-US"/>
        </w:rPr>
        <w:t>on the legal framework, on</w:t>
      </w:r>
      <w:r w:rsidR="00DE0A54" w:rsidRPr="00E43EDA">
        <w:rPr>
          <w:rFonts w:ascii="Tahoma" w:hAnsi="Tahoma" w:cs="Tahoma"/>
          <w:sz w:val="24"/>
          <w:szCs w:val="24"/>
          <w:lang w:val="en-US"/>
        </w:rPr>
        <w:t xml:space="preserve"> labour law and industrial relations in the public sector.</w:t>
      </w:r>
      <w:r w:rsidR="008D5D10" w:rsidRPr="00E43EDA">
        <w:rPr>
          <w:rFonts w:ascii="Tahoma" w:hAnsi="Tahoma" w:cs="Tahoma"/>
          <w:sz w:val="24"/>
          <w:szCs w:val="24"/>
          <w:lang w:val="en-US"/>
        </w:rPr>
        <w:t xml:space="preserve"> </w:t>
      </w:r>
    </w:p>
    <w:p w:rsidR="0012352B" w:rsidRPr="00E43EDA" w:rsidRDefault="001D699B" w:rsidP="00DE0A54">
      <w:pPr>
        <w:autoSpaceDE w:val="0"/>
        <w:autoSpaceDN w:val="0"/>
        <w:adjustRightInd w:val="0"/>
        <w:spacing w:after="0" w:line="240" w:lineRule="auto"/>
        <w:jc w:val="both"/>
        <w:rPr>
          <w:rFonts w:ascii="Tahoma" w:hAnsi="Tahoma" w:cs="Tahoma"/>
          <w:sz w:val="24"/>
          <w:szCs w:val="24"/>
          <w:lang w:val="en-US"/>
        </w:rPr>
      </w:pPr>
      <w:r w:rsidRPr="00E43EDA">
        <w:rPr>
          <w:rFonts w:ascii="Tahoma" w:hAnsi="Tahoma" w:cs="Tahoma"/>
          <w:sz w:val="24"/>
          <w:szCs w:val="24"/>
          <w:lang w:val="en-US"/>
        </w:rPr>
        <w:lastRenderedPageBreak/>
        <w:t xml:space="preserve">The report on the economic and financial adjustment programme for Portugal (which was signed by the European Commission on 20 May 2011 and by the IMF on </w:t>
      </w:r>
      <w:r w:rsidR="00200397" w:rsidRPr="00E43EDA">
        <w:rPr>
          <w:rFonts w:ascii="Tahoma" w:hAnsi="Tahoma" w:cs="Tahoma"/>
          <w:sz w:val="24"/>
          <w:szCs w:val="24"/>
          <w:lang w:val="en-US"/>
        </w:rPr>
        <w:t xml:space="preserve">30 </w:t>
      </w:r>
      <w:r w:rsidRPr="00E43EDA">
        <w:rPr>
          <w:rFonts w:ascii="Tahoma" w:hAnsi="Tahoma" w:cs="Tahoma"/>
          <w:sz w:val="24"/>
          <w:szCs w:val="24"/>
          <w:lang w:val="en-US"/>
        </w:rPr>
        <w:t xml:space="preserve">May 2011) indicated that the public sector </w:t>
      </w:r>
      <w:r w:rsidR="00200397" w:rsidRPr="00E43EDA">
        <w:rPr>
          <w:rFonts w:ascii="Tahoma" w:hAnsi="Tahoma" w:cs="Tahoma"/>
          <w:sz w:val="24"/>
          <w:szCs w:val="24"/>
          <w:lang w:val="en-US"/>
        </w:rPr>
        <w:t>was too big and that cuts in spending of the public sector had to be undertaken.</w:t>
      </w:r>
      <w:r w:rsidR="00200397" w:rsidRPr="00E43EDA">
        <w:rPr>
          <w:rStyle w:val="FootnoteReference"/>
          <w:rFonts w:ascii="Tahoma" w:hAnsi="Tahoma" w:cs="Tahoma"/>
          <w:sz w:val="24"/>
          <w:szCs w:val="24"/>
          <w:lang w:val="en-US"/>
        </w:rPr>
        <w:footnoteReference w:id="7"/>
      </w:r>
      <w:r w:rsidR="00200397" w:rsidRPr="00E43EDA">
        <w:rPr>
          <w:rFonts w:ascii="Tahoma" w:hAnsi="Tahoma" w:cs="Tahoma"/>
          <w:sz w:val="24"/>
          <w:szCs w:val="24"/>
          <w:lang w:val="en-US"/>
        </w:rPr>
        <w:t xml:space="preserve"> </w:t>
      </w:r>
    </w:p>
    <w:p w:rsidR="0012352B" w:rsidRPr="00E43EDA" w:rsidRDefault="0012352B" w:rsidP="00DE0A54">
      <w:pPr>
        <w:autoSpaceDE w:val="0"/>
        <w:autoSpaceDN w:val="0"/>
        <w:adjustRightInd w:val="0"/>
        <w:spacing w:after="0" w:line="240" w:lineRule="auto"/>
        <w:jc w:val="both"/>
        <w:rPr>
          <w:rFonts w:ascii="Tahoma" w:hAnsi="Tahoma" w:cs="Tahoma"/>
          <w:sz w:val="24"/>
          <w:szCs w:val="24"/>
          <w:lang w:val="en-US"/>
        </w:rPr>
      </w:pPr>
    </w:p>
    <w:p w:rsidR="00DE0A54" w:rsidRPr="00E43EDA" w:rsidRDefault="0053256E" w:rsidP="00DE0A54">
      <w:pPr>
        <w:autoSpaceDE w:val="0"/>
        <w:autoSpaceDN w:val="0"/>
        <w:adjustRightInd w:val="0"/>
        <w:spacing w:after="0" w:line="240" w:lineRule="auto"/>
        <w:jc w:val="both"/>
        <w:rPr>
          <w:rFonts w:ascii="Tahoma" w:hAnsi="Tahoma" w:cs="Tahoma"/>
          <w:sz w:val="24"/>
          <w:szCs w:val="24"/>
          <w:lang w:val="en-US"/>
        </w:rPr>
      </w:pPr>
      <w:r w:rsidRPr="00E43EDA">
        <w:rPr>
          <w:rFonts w:ascii="Tahoma" w:hAnsi="Tahoma" w:cs="Tahoma"/>
          <w:sz w:val="24"/>
          <w:szCs w:val="24"/>
          <w:lang w:val="en-US"/>
        </w:rPr>
        <w:t>The query from Spain only included a financial sector adjustmen</w:t>
      </w:r>
      <w:r w:rsidR="009879A8">
        <w:rPr>
          <w:rFonts w:ascii="Tahoma" w:hAnsi="Tahoma" w:cs="Tahoma"/>
          <w:sz w:val="24"/>
          <w:szCs w:val="24"/>
          <w:lang w:val="en-US"/>
        </w:rPr>
        <w:t>t programme. However, the Memorandum of Understanding</w:t>
      </w:r>
      <w:r w:rsidRPr="00E43EDA">
        <w:rPr>
          <w:rFonts w:ascii="Tahoma" w:hAnsi="Tahoma" w:cs="Tahoma"/>
          <w:sz w:val="24"/>
          <w:szCs w:val="24"/>
          <w:lang w:val="en-US"/>
        </w:rPr>
        <w:t xml:space="preserve"> </w:t>
      </w:r>
      <w:r w:rsidR="00511C8B" w:rsidRPr="00E43EDA">
        <w:rPr>
          <w:rFonts w:ascii="Tahoma" w:hAnsi="Tahoma" w:cs="Tahoma"/>
          <w:sz w:val="24"/>
          <w:szCs w:val="24"/>
          <w:lang w:val="en-US"/>
        </w:rPr>
        <w:t>strongly</w:t>
      </w:r>
      <w:r w:rsidRPr="00E43EDA">
        <w:rPr>
          <w:rFonts w:ascii="Tahoma" w:hAnsi="Tahoma" w:cs="Tahoma"/>
          <w:sz w:val="24"/>
          <w:szCs w:val="24"/>
          <w:lang w:val="en-US"/>
        </w:rPr>
        <w:t xml:space="preserve"> focuses on the growing level of Spanish state debt. It increased from 60% in 2010 to alms 90% in 2012. </w:t>
      </w:r>
      <w:r w:rsidR="008D5D10" w:rsidRPr="00E43EDA">
        <w:rPr>
          <w:rFonts w:ascii="Tahoma" w:hAnsi="Tahoma" w:cs="Tahoma"/>
          <w:sz w:val="24"/>
          <w:szCs w:val="24"/>
          <w:lang w:val="en-US"/>
        </w:rPr>
        <w:t xml:space="preserve">Spain indicated explicitly </w:t>
      </w:r>
      <w:proofErr w:type="gramStart"/>
      <w:r w:rsidR="008D5D10" w:rsidRPr="00E43EDA">
        <w:rPr>
          <w:rFonts w:ascii="Tahoma" w:hAnsi="Tahoma" w:cs="Tahoma"/>
          <w:sz w:val="24"/>
          <w:szCs w:val="24"/>
          <w:lang w:val="en-US"/>
        </w:rPr>
        <w:t>that reforms</w:t>
      </w:r>
      <w:proofErr w:type="gramEnd"/>
      <w:r w:rsidR="008D5D10" w:rsidRPr="00E43EDA">
        <w:rPr>
          <w:rFonts w:ascii="Tahoma" w:hAnsi="Tahoma" w:cs="Tahoma"/>
          <w:sz w:val="24"/>
          <w:szCs w:val="24"/>
          <w:lang w:val="en-US"/>
        </w:rPr>
        <w:t xml:space="preserve"> in the public sector to improve efficiency and the quality of public expenditure. Spain had already organised some reforms of the public sector</w:t>
      </w:r>
      <w:r w:rsidR="007A015F" w:rsidRPr="00E43EDA">
        <w:rPr>
          <w:rFonts w:ascii="Tahoma" w:hAnsi="Tahoma" w:cs="Tahoma"/>
          <w:sz w:val="24"/>
          <w:szCs w:val="24"/>
          <w:lang w:val="en-US"/>
        </w:rPr>
        <w:t>,</w:t>
      </w:r>
      <w:r w:rsidR="00200397" w:rsidRPr="00E43EDA">
        <w:rPr>
          <w:rStyle w:val="FootnoteReference"/>
          <w:rFonts w:ascii="Tahoma" w:hAnsi="Tahoma" w:cs="Tahoma"/>
          <w:sz w:val="24"/>
          <w:szCs w:val="24"/>
          <w:lang w:val="en-US"/>
        </w:rPr>
        <w:footnoteReference w:id="8"/>
      </w:r>
      <w:r w:rsidR="007A015F" w:rsidRPr="00E43EDA">
        <w:rPr>
          <w:rFonts w:ascii="Tahoma" w:hAnsi="Tahoma" w:cs="Tahoma"/>
          <w:sz w:val="24"/>
          <w:szCs w:val="24"/>
          <w:lang w:val="en-US"/>
        </w:rPr>
        <w:t xml:space="preserve"> although specific </w:t>
      </w:r>
      <w:r w:rsidR="00511C8B" w:rsidRPr="00E43EDA">
        <w:rPr>
          <w:rFonts w:ascii="Tahoma" w:hAnsi="Tahoma" w:cs="Tahoma"/>
          <w:sz w:val="24"/>
          <w:szCs w:val="24"/>
          <w:lang w:val="en-US"/>
        </w:rPr>
        <w:t>measures</w:t>
      </w:r>
      <w:r w:rsidR="007A015F" w:rsidRPr="00E43EDA">
        <w:rPr>
          <w:rFonts w:ascii="Tahoma" w:hAnsi="Tahoma" w:cs="Tahoma"/>
          <w:sz w:val="24"/>
          <w:szCs w:val="24"/>
          <w:lang w:val="en-US"/>
        </w:rPr>
        <w:t xml:space="preserve"> h</w:t>
      </w:r>
      <w:r w:rsidR="0012352B" w:rsidRPr="00E43EDA">
        <w:rPr>
          <w:rFonts w:ascii="Tahoma" w:hAnsi="Tahoma" w:cs="Tahoma"/>
          <w:sz w:val="24"/>
          <w:szCs w:val="24"/>
          <w:lang w:val="en-US"/>
        </w:rPr>
        <w:t>a</w:t>
      </w:r>
      <w:r w:rsidR="007A015F" w:rsidRPr="00E43EDA">
        <w:rPr>
          <w:rFonts w:ascii="Tahoma" w:hAnsi="Tahoma" w:cs="Tahoma"/>
          <w:sz w:val="24"/>
          <w:szCs w:val="24"/>
          <w:lang w:val="en-US"/>
        </w:rPr>
        <w:t>d to</w:t>
      </w:r>
      <w:r w:rsidR="0012352B" w:rsidRPr="00E43EDA">
        <w:rPr>
          <w:rFonts w:ascii="Tahoma" w:hAnsi="Tahoma" w:cs="Tahoma"/>
          <w:sz w:val="24"/>
          <w:szCs w:val="24"/>
          <w:lang w:val="en-US"/>
        </w:rPr>
        <w:t xml:space="preserve"> </w:t>
      </w:r>
      <w:r w:rsidR="007A015F" w:rsidRPr="00E43EDA">
        <w:rPr>
          <w:rFonts w:ascii="Tahoma" w:hAnsi="Tahoma" w:cs="Tahoma"/>
          <w:sz w:val="24"/>
          <w:szCs w:val="24"/>
          <w:lang w:val="en-US"/>
        </w:rPr>
        <w:t>be more detailed outlined.</w:t>
      </w:r>
      <w:r w:rsidR="008D5D10" w:rsidRPr="00E43EDA">
        <w:rPr>
          <w:rFonts w:ascii="Tahoma" w:hAnsi="Tahoma" w:cs="Tahoma"/>
          <w:sz w:val="24"/>
          <w:szCs w:val="24"/>
          <w:lang w:val="en-US"/>
        </w:rPr>
        <w:t xml:space="preserve"> </w:t>
      </w:r>
      <w:r w:rsidR="0012352B" w:rsidRPr="00E43EDA">
        <w:rPr>
          <w:rFonts w:ascii="Tahoma" w:hAnsi="Tahoma" w:cs="Tahoma"/>
          <w:sz w:val="24"/>
          <w:szCs w:val="24"/>
          <w:lang w:val="en-US"/>
        </w:rPr>
        <w:t xml:space="preserve">Spain had already started significant reform of the employment conditions of its staff. </w:t>
      </w:r>
    </w:p>
    <w:p w:rsidR="00CA48D3" w:rsidRPr="00E43EDA" w:rsidRDefault="00CA48D3" w:rsidP="00DE0A54">
      <w:pPr>
        <w:autoSpaceDE w:val="0"/>
        <w:autoSpaceDN w:val="0"/>
        <w:adjustRightInd w:val="0"/>
        <w:spacing w:after="0" w:line="240" w:lineRule="auto"/>
        <w:jc w:val="both"/>
        <w:rPr>
          <w:rFonts w:ascii="Tahoma" w:hAnsi="Tahoma" w:cs="Tahoma"/>
          <w:sz w:val="24"/>
          <w:szCs w:val="24"/>
          <w:lang w:val="en-US"/>
        </w:rPr>
      </w:pPr>
    </w:p>
    <w:p w:rsidR="00DC01A1" w:rsidRPr="00E43EDA" w:rsidRDefault="00CA48D3" w:rsidP="00DE0A54">
      <w:pPr>
        <w:autoSpaceDE w:val="0"/>
        <w:autoSpaceDN w:val="0"/>
        <w:adjustRightInd w:val="0"/>
        <w:spacing w:after="0" w:line="240" w:lineRule="auto"/>
        <w:jc w:val="both"/>
        <w:rPr>
          <w:rFonts w:ascii="Tahoma" w:hAnsi="Tahoma" w:cs="Tahoma"/>
          <w:sz w:val="24"/>
          <w:szCs w:val="24"/>
          <w:lang w:val="en-US"/>
        </w:rPr>
      </w:pPr>
      <w:r w:rsidRPr="00E43EDA">
        <w:rPr>
          <w:rFonts w:ascii="Tahoma" w:hAnsi="Tahoma" w:cs="Tahoma"/>
          <w:sz w:val="24"/>
          <w:szCs w:val="24"/>
          <w:lang w:val="en-US"/>
        </w:rPr>
        <w:t>Belgium and the Netherlands did not request any financial support from the EU</w:t>
      </w:r>
      <w:r w:rsidR="009879A8">
        <w:rPr>
          <w:rFonts w:ascii="Tahoma" w:hAnsi="Tahoma" w:cs="Tahoma"/>
          <w:sz w:val="24"/>
          <w:szCs w:val="24"/>
          <w:lang w:val="en-US"/>
        </w:rPr>
        <w:t xml:space="preserve"> and/or the ECB and/or the IMF</w:t>
      </w:r>
      <w:r w:rsidRPr="00E43EDA">
        <w:rPr>
          <w:rFonts w:ascii="Tahoma" w:hAnsi="Tahoma" w:cs="Tahoma"/>
          <w:sz w:val="24"/>
          <w:szCs w:val="24"/>
          <w:lang w:val="en-US"/>
        </w:rPr>
        <w:t>. However, the economic and financial crisis l</w:t>
      </w:r>
      <w:r w:rsidR="009879A8">
        <w:rPr>
          <w:rFonts w:ascii="Tahoma" w:hAnsi="Tahoma" w:cs="Tahoma"/>
          <w:sz w:val="24"/>
          <w:szCs w:val="24"/>
          <w:lang w:val="en-US"/>
        </w:rPr>
        <w:t xml:space="preserve">ed to strengthening by the EU of </w:t>
      </w:r>
      <w:r w:rsidR="00DC01A1" w:rsidRPr="00E43EDA">
        <w:rPr>
          <w:rFonts w:ascii="Tahoma" w:hAnsi="Tahoma" w:cs="Tahoma"/>
          <w:sz w:val="24"/>
          <w:szCs w:val="24"/>
          <w:lang w:val="en-US"/>
        </w:rPr>
        <w:t>the co</w:t>
      </w:r>
      <w:r w:rsidRPr="00E43EDA">
        <w:rPr>
          <w:rFonts w:ascii="Tahoma" w:hAnsi="Tahoma" w:cs="Tahoma"/>
          <w:sz w:val="24"/>
          <w:szCs w:val="24"/>
          <w:lang w:val="en-US"/>
        </w:rPr>
        <w:t>n</w:t>
      </w:r>
      <w:r w:rsidR="00DC01A1" w:rsidRPr="00E43EDA">
        <w:rPr>
          <w:rFonts w:ascii="Tahoma" w:hAnsi="Tahoma" w:cs="Tahoma"/>
          <w:sz w:val="24"/>
          <w:szCs w:val="24"/>
          <w:lang w:val="en-US"/>
        </w:rPr>
        <w:t>t</w:t>
      </w:r>
      <w:r w:rsidRPr="00E43EDA">
        <w:rPr>
          <w:rFonts w:ascii="Tahoma" w:hAnsi="Tahoma" w:cs="Tahoma"/>
          <w:sz w:val="24"/>
          <w:szCs w:val="24"/>
          <w:lang w:val="en-US"/>
        </w:rPr>
        <w:t>rol on the budget</w:t>
      </w:r>
      <w:r w:rsidR="009879A8">
        <w:rPr>
          <w:rFonts w:ascii="Tahoma" w:hAnsi="Tahoma" w:cs="Tahoma"/>
          <w:sz w:val="24"/>
          <w:szCs w:val="24"/>
          <w:lang w:val="en-US"/>
        </w:rPr>
        <w:t xml:space="preserve"> of its Member States</w:t>
      </w:r>
      <w:r w:rsidRPr="00E43EDA">
        <w:rPr>
          <w:rFonts w:ascii="Tahoma" w:hAnsi="Tahoma" w:cs="Tahoma"/>
          <w:sz w:val="24"/>
          <w:szCs w:val="24"/>
          <w:lang w:val="en-US"/>
        </w:rPr>
        <w:t xml:space="preserve">. It implies that the EU publishes a yearly analysis of the situation in any Member State in order to </w:t>
      </w:r>
      <w:r w:rsidR="000D28D7" w:rsidRPr="00E43EDA">
        <w:rPr>
          <w:rFonts w:ascii="Tahoma" w:hAnsi="Tahoma" w:cs="Tahoma"/>
          <w:sz w:val="24"/>
          <w:szCs w:val="24"/>
          <w:lang w:val="en-US"/>
        </w:rPr>
        <w:t xml:space="preserve">comply with the </w:t>
      </w:r>
      <w:proofErr w:type="gramStart"/>
      <w:r w:rsidR="000D28D7" w:rsidRPr="00E43EDA">
        <w:rPr>
          <w:rFonts w:ascii="Tahoma" w:hAnsi="Tahoma" w:cs="Tahoma"/>
          <w:sz w:val="24"/>
          <w:szCs w:val="24"/>
          <w:lang w:val="en-US"/>
        </w:rPr>
        <w:t>conditions which</w:t>
      </w:r>
      <w:proofErr w:type="gramEnd"/>
      <w:r w:rsidR="000D28D7" w:rsidRPr="00E43EDA">
        <w:rPr>
          <w:rFonts w:ascii="Tahoma" w:hAnsi="Tahoma" w:cs="Tahoma"/>
          <w:sz w:val="24"/>
          <w:szCs w:val="24"/>
          <w:lang w:val="en-US"/>
        </w:rPr>
        <w:t xml:space="preserve"> were enacted in the Treaty of Maastricht. </w:t>
      </w:r>
    </w:p>
    <w:p w:rsidR="00DC01A1" w:rsidRPr="00E43EDA" w:rsidRDefault="00DC01A1" w:rsidP="00DE0A54">
      <w:pPr>
        <w:autoSpaceDE w:val="0"/>
        <w:autoSpaceDN w:val="0"/>
        <w:adjustRightInd w:val="0"/>
        <w:spacing w:after="0" w:line="240" w:lineRule="auto"/>
        <w:jc w:val="both"/>
        <w:rPr>
          <w:rFonts w:ascii="Tahoma" w:hAnsi="Tahoma" w:cs="Tahoma"/>
          <w:sz w:val="24"/>
          <w:szCs w:val="24"/>
          <w:lang w:val="en-US"/>
        </w:rPr>
      </w:pPr>
    </w:p>
    <w:p w:rsidR="00DC01A1" w:rsidRPr="00E43EDA" w:rsidRDefault="00DC01A1" w:rsidP="00DC01A1">
      <w:pPr>
        <w:autoSpaceDE w:val="0"/>
        <w:autoSpaceDN w:val="0"/>
        <w:adjustRightInd w:val="0"/>
        <w:spacing w:after="0" w:line="240" w:lineRule="auto"/>
        <w:jc w:val="both"/>
        <w:rPr>
          <w:rFonts w:ascii="Tahoma" w:eastAsia="LiberationSerif" w:hAnsi="Tahoma" w:cs="Tahoma"/>
          <w:sz w:val="24"/>
          <w:szCs w:val="24"/>
          <w:lang w:val="en-US"/>
        </w:rPr>
      </w:pPr>
      <w:r w:rsidRPr="00E43EDA">
        <w:rPr>
          <w:rFonts w:ascii="Tahoma" w:hAnsi="Tahoma" w:cs="Tahoma"/>
          <w:sz w:val="24"/>
          <w:szCs w:val="24"/>
          <w:lang w:val="en-US"/>
        </w:rPr>
        <w:t xml:space="preserve">Since the Treaty of Maastricht, EU Member States need to avoid excessive budgetary deficits, according to article 104 c of the original text of the Treaty. The text of the Treaty gave the Commission the task to monitor the the development of the budgetary situation </w:t>
      </w:r>
      <w:r w:rsidRPr="00E43EDA">
        <w:rPr>
          <w:rFonts w:ascii="Tahoma" w:eastAsia="LiberationSerif" w:hAnsi="Tahoma" w:cs="Tahoma"/>
          <w:sz w:val="24"/>
          <w:szCs w:val="24"/>
          <w:lang w:val="en-US"/>
        </w:rPr>
        <w:t xml:space="preserve">and of the stock of government debt in the Member States with a view to identifying gross errors. Two elements are crucial: the state deficit may not be above 3% of the BGP and the state debt should remain below the 60%. </w:t>
      </w:r>
    </w:p>
    <w:p w:rsidR="00DC01A1" w:rsidRPr="00E43EDA" w:rsidRDefault="00DC01A1" w:rsidP="00DC01A1">
      <w:pPr>
        <w:autoSpaceDE w:val="0"/>
        <w:autoSpaceDN w:val="0"/>
        <w:adjustRightInd w:val="0"/>
        <w:spacing w:after="0" w:line="240" w:lineRule="auto"/>
        <w:jc w:val="both"/>
        <w:rPr>
          <w:rFonts w:ascii="Tahoma" w:eastAsia="LiberationSerif" w:hAnsi="Tahoma" w:cs="Tahoma"/>
          <w:sz w:val="24"/>
          <w:szCs w:val="24"/>
          <w:lang w:val="en-US"/>
        </w:rPr>
      </w:pPr>
    </w:p>
    <w:p w:rsidR="00DC01A1" w:rsidRPr="00E43EDA" w:rsidRDefault="00DC01A1" w:rsidP="00DE0A54">
      <w:pPr>
        <w:autoSpaceDE w:val="0"/>
        <w:autoSpaceDN w:val="0"/>
        <w:adjustRightInd w:val="0"/>
        <w:spacing w:after="0" w:line="240" w:lineRule="auto"/>
        <w:jc w:val="both"/>
        <w:rPr>
          <w:rFonts w:ascii="Tahoma" w:eastAsia="LiberationSerif" w:hAnsi="Tahoma" w:cs="Tahoma"/>
          <w:sz w:val="24"/>
          <w:szCs w:val="24"/>
          <w:lang w:val="en-US"/>
        </w:rPr>
      </w:pPr>
      <w:r w:rsidRPr="00E43EDA">
        <w:rPr>
          <w:rFonts w:ascii="Tahoma" w:eastAsia="LiberationSerif" w:hAnsi="Tahoma" w:cs="Tahoma"/>
          <w:sz w:val="24"/>
          <w:szCs w:val="24"/>
          <w:lang w:val="en-US"/>
        </w:rPr>
        <w:t>Article 104</w:t>
      </w:r>
      <w:r w:rsidR="009879A8">
        <w:rPr>
          <w:rFonts w:ascii="Tahoma" w:eastAsia="LiberationSerif" w:hAnsi="Tahoma" w:cs="Tahoma"/>
          <w:sz w:val="24"/>
          <w:szCs w:val="24"/>
          <w:lang w:val="en-US"/>
        </w:rPr>
        <w:t xml:space="preserve"> </w:t>
      </w:r>
      <w:r w:rsidRPr="00E43EDA">
        <w:rPr>
          <w:rFonts w:ascii="Tahoma" w:eastAsia="LiberationSerif" w:hAnsi="Tahoma" w:cs="Tahoma"/>
          <w:sz w:val="24"/>
          <w:szCs w:val="24"/>
          <w:lang w:val="en-US"/>
        </w:rPr>
        <w:t>c of the Treaty of Maastricht has become article 126 of the Treaty on the functioning of the European Union (hereafter TFEU). The Grow and Stability Pact procedure, which is established a based upon this article and based upon the Council Regulation 1466/97 and 1467/97 made that a monitoring report of the Commission was prepared on Belgium and the Netherlands on 7 October 2009.</w:t>
      </w:r>
      <w:r w:rsidRPr="00E43EDA">
        <w:rPr>
          <w:rStyle w:val="FootnoteReference"/>
          <w:rFonts w:ascii="Tahoma" w:eastAsia="LiberationSerif" w:hAnsi="Tahoma" w:cs="Tahoma"/>
          <w:sz w:val="24"/>
          <w:szCs w:val="24"/>
          <w:lang w:val="en-US"/>
        </w:rPr>
        <w:footnoteReference w:id="9"/>
      </w:r>
      <w:r w:rsidRPr="00E43EDA">
        <w:rPr>
          <w:rFonts w:ascii="Tahoma" w:eastAsia="LiberationSerif" w:hAnsi="Tahoma" w:cs="Tahoma"/>
          <w:sz w:val="24"/>
          <w:szCs w:val="24"/>
          <w:lang w:val="en-US"/>
        </w:rPr>
        <w:t xml:space="preserve"> The procedure should guarantee that development of the Stability and Growth Pact of the EU. The Commission has to launch a report on the short and medium term prospects in order to return to a sound budgetary position. </w:t>
      </w:r>
    </w:p>
    <w:p w:rsidR="00194CE4" w:rsidRPr="00E43EDA" w:rsidRDefault="00194CE4" w:rsidP="00DE0A54">
      <w:pPr>
        <w:autoSpaceDE w:val="0"/>
        <w:autoSpaceDN w:val="0"/>
        <w:adjustRightInd w:val="0"/>
        <w:spacing w:after="0" w:line="240" w:lineRule="auto"/>
        <w:jc w:val="both"/>
        <w:rPr>
          <w:rFonts w:ascii="Tahoma" w:hAnsi="Tahoma" w:cs="Tahoma"/>
          <w:sz w:val="24"/>
          <w:szCs w:val="24"/>
          <w:lang w:val="en-US"/>
        </w:rPr>
      </w:pPr>
    </w:p>
    <w:p w:rsidR="00677712" w:rsidRPr="00E43EDA" w:rsidRDefault="00194CE4" w:rsidP="00DE0A54">
      <w:pPr>
        <w:autoSpaceDE w:val="0"/>
        <w:autoSpaceDN w:val="0"/>
        <w:adjustRightInd w:val="0"/>
        <w:spacing w:after="0" w:line="240" w:lineRule="auto"/>
        <w:jc w:val="both"/>
        <w:rPr>
          <w:rFonts w:ascii="Tahoma" w:hAnsi="Tahoma" w:cs="Tahoma"/>
          <w:sz w:val="24"/>
          <w:szCs w:val="24"/>
          <w:lang w:val="en-US"/>
        </w:rPr>
      </w:pPr>
      <w:r w:rsidRPr="00E43EDA">
        <w:rPr>
          <w:rFonts w:ascii="Tahoma" w:hAnsi="Tahoma" w:cs="Tahoma"/>
          <w:sz w:val="24"/>
          <w:szCs w:val="24"/>
          <w:lang w:val="en-US"/>
        </w:rPr>
        <w:t xml:space="preserve">Belgium and the Netherlands had their own specific problems. Belgium knows historically a very high state </w:t>
      </w:r>
      <w:proofErr w:type="gramStart"/>
      <w:r w:rsidRPr="00E43EDA">
        <w:rPr>
          <w:rFonts w:ascii="Tahoma" w:hAnsi="Tahoma" w:cs="Tahoma"/>
          <w:sz w:val="24"/>
          <w:szCs w:val="24"/>
          <w:lang w:val="en-US"/>
        </w:rPr>
        <w:t>depth which</w:t>
      </w:r>
      <w:proofErr w:type="gramEnd"/>
      <w:r w:rsidRPr="00E43EDA">
        <w:rPr>
          <w:rFonts w:ascii="Tahoma" w:hAnsi="Tahoma" w:cs="Tahoma"/>
          <w:sz w:val="24"/>
          <w:szCs w:val="24"/>
          <w:lang w:val="en-US"/>
        </w:rPr>
        <w:t xml:space="preserve"> lies around 100% while the Netherlands had difficulties to keep their budget deficit under the 3% of the GNP. This implies that, even if the financial crisis may not have hit them as hard as Spain and </w:t>
      </w:r>
      <w:r w:rsidR="00511C8B" w:rsidRPr="00E43EDA">
        <w:rPr>
          <w:rFonts w:ascii="Tahoma" w:hAnsi="Tahoma" w:cs="Tahoma"/>
          <w:sz w:val="24"/>
          <w:szCs w:val="24"/>
          <w:lang w:val="en-US"/>
        </w:rPr>
        <w:t>Portugal</w:t>
      </w:r>
      <w:r w:rsidRPr="00E43EDA">
        <w:rPr>
          <w:rFonts w:ascii="Tahoma" w:hAnsi="Tahoma" w:cs="Tahoma"/>
          <w:sz w:val="24"/>
          <w:szCs w:val="24"/>
          <w:lang w:val="en-US"/>
        </w:rPr>
        <w:t xml:space="preserve">, both countries received </w:t>
      </w:r>
      <w:r w:rsidR="00E5796D" w:rsidRPr="00E43EDA">
        <w:rPr>
          <w:rFonts w:ascii="Tahoma" w:hAnsi="Tahoma" w:cs="Tahoma"/>
          <w:sz w:val="24"/>
          <w:szCs w:val="24"/>
          <w:lang w:val="en-US"/>
        </w:rPr>
        <w:t xml:space="preserve">clear indications how these requirements need to be fulfilled. </w:t>
      </w:r>
      <w:r w:rsidR="000D28D7" w:rsidRPr="00E43EDA">
        <w:rPr>
          <w:rFonts w:ascii="Tahoma" w:hAnsi="Tahoma" w:cs="Tahoma"/>
          <w:sz w:val="24"/>
          <w:szCs w:val="24"/>
          <w:lang w:val="en-US"/>
        </w:rPr>
        <w:t xml:space="preserve"> </w:t>
      </w:r>
    </w:p>
    <w:p w:rsidR="00CA48D3" w:rsidRPr="00E43EDA" w:rsidRDefault="000D28D7" w:rsidP="00DE0A54">
      <w:pPr>
        <w:autoSpaceDE w:val="0"/>
        <w:autoSpaceDN w:val="0"/>
        <w:adjustRightInd w:val="0"/>
        <w:spacing w:after="0" w:line="240" w:lineRule="auto"/>
        <w:jc w:val="both"/>
        <w:rPr>
          <w:rFonts w:ascii="Tahoma" w:hAnsi="Tahoma" w:cs="Tahoma"/>
          <w:sz w:val="24"/>
          <w:szCs w:val="24"/>
          <w:lang w:val="en-US"/>
        </w:rPr>
      </w:pPr>
      <w:r w:rsidRPr="00E43EDA">
        <w:rPr>
          <w:rFonts w:ascii="Tahoma" w:hAnsi="Tahoma" w:cs="Tahoma"/>
          <w:sz w:val="24"/>
          <w:szCs w:val="24"/>
          <w:lang w:val="en-US"/>
        </w:rPr>
        <w:t xml:space="preserve"> </w:t>
      </w:r>
    </w:p>
    <w:p w:rsidR="00DE0A54" w:rsidRPr="00E43EDA" w:rsidRDefault="00DE0A54" w:rsidP="00DE0A54">
      <w:pPr>
        <w:autoSpaceDE w:val="0"/>
        <w:autoSpaceDN w:val="0"/>
        <w:adjustRightInd w:val="0"/>
        <w:spacing w:after="0" w:line="240" w:lineRule="auto"/>
        <w:jc w:val="both"/>
        <w:rPr>
          <w:rFonts w:ascii="Tahoma" w:hAnsi="Tahoma" w:cs="Tahoma"/>
          <w:sz w:val="24"/>
          <w:szCs w:val="24"/>
          <w:lang w:val="en-US"/>
        </w:rPr>
      </w:pPr>
    </w:p>
    <w:p w:rsidR="00DE0A54" w:rsidRPr="00E43EDA" w:rsidRDefault="005A3D8F" w:rsidP="00DE0A54">
      <w:pPr>
        <w:pStyle w:val="ListParagraph"/>
        <w:numPr>
          <w:ilvl w:val="0"/>
          <w:numId w:val="8"/>
        </w:numPr>
        <w:autoSpaceDE w:val="0"/>
        <w:autoSpaceDN w:val="0"/>
        <w:adjustRightInd w:val="0"/>
        <w:spacing w:after="0" w:line="240" w:lineRule="auto"/>
        <w:jc w:val="both"/>
        <w:rPr>
          <w:rFonts w:ascii="Tahoma" w:hAnsi="Tahoma" w:cs="Tahoma"/>
          <w:sz w:val="24"/>
          <w:szCs w:val="24"/>
          <w:lang w:val="en-US"/>
        </w:rPr>
      </w:pPr>
      <w:r w:rsidRPr="00E43EDA">
        <w:rPr>
          <w:rFonts w:ascii="Tahoma" w:hAnsi="Tahoma" w:cs="Tahoma"/>
          <w:sz w:val="24"/>
          <w:szCs w:val="24"/>
          <w:lang w:val="en-US"/>
        </w:rPr>
        <w:lastRenderedPageBreak/>
        <w:t xml:space="preserve">Conditions for Portugal, </w:t>
      </w:r>
      <w:r w:rsidR="00DE0A54" w:rsidRPr="00E43EDA">
        <w:rPr>
          <w:rFonts w:ascii="Tahoma" w:hAnsi="Tahoma" w:cs="Tahoma"/>
          <w:sz w:val="24"/>
          <w:szCs w:val="24"/>
          <w:lang w:val="en-US"/>
        </w:rPr>
        <w:t>Spain</w:t>
      </w:r>
      <w:r w:rsidR="00E5796D" w:rsidRPr="00E43EDA">
        <w:rPr>
          <w:rFonts w:ascii="Tahoma" w:hAnsi="Tahoma" w:cs="Tahoma"/>
          <w:sz w:val="24"/>
          <w:szCs w:val="24"/>
          <w:lang w:val="en-US"/>
        </w:rPr>
        <w:t xml:space="preserve"> </w:t>
      </w:r>
      <w:r w:rsidRPr="00E43EDA">
        <w:rPr>
          <w:rFonts w:ascii="Tahoma" w:hAnsi="Tahoma" w:cs="Tahoma"/>
          <w:sz w:val="24"/>
          <w:szCs w:val="24"/>
          <w:lang w:val="en-US"/>
        </w:rPr>
        <w:t xml:space="preserve">and Belgium and the Netherlands </w:t>
      </w:r>
      <w:r w:rsidR="00E5796D" w:rsidRPr="00E43EDA">
        <w:rPr>
          <w:rFonts w:ascii="Tahoma" w:hAnsi="Tahoma" w:cs="Tahoma"/>
          <w:sz w:val="24"/>
          <w:szCs w:val="24"/>
          <w:lang w:val="en-US"/>
        </w:rPr>
        <w:t>with regard to t</w:t>
      </w:r>
      <w:r w:rsidRPr="00E43EDA">
        <w:rPr>
          <w:rFonts w:ascii="Tahoma" w:hAnsi="Tahoma" w:cs="Tahoma"/>
          <w:sz w:val="24"/>
          <w:szCs w:val="24"/>
          <w:lang w:val="en-US"/>
        </w:rPr>
        <w:t>h</w:t>
      </w:r>
      <w:r w:rsidR="00E5796D" w:rsidRPr="00E43EDA">
        <w:rPr>
          <w:rFonts w:ascii="Tahoma" w:hAnsi="Tahoma" w:cs="Tahoma"/>
          <w:sz w:val="24"/>
          <w:szCs w:val="24"/>
          <w:lang w:val="en-US"/>
        </w:rPr>
        <w:t>e public sector</w:t>
      </w:r>
    </w:p>
    <w:p w:rsidR="00DE0A54" w:rsidRPr="00E43EDA" w:rsidRDefault="00DE0A54" w:rsidP="00DE0A54">
      <w:pPr>
        <w:autoSpaceDE w:val="0"/>
        <w:autoSpaceDN w:val="0"/>
        <w:adjustRightInd w:val="0"/>
        <w:spacing w:after="0" w:line="240" w:lineRule="auto"/>
        <w:rPr>
          <w:rFonts w:ascii="TimesNewRoman" w:hAnsi="TimesNewRoman" w:cs="TimesNewRoman"/>
          <w:sz w:val="24"/>
          <w:szCs w:val="24"/>
          <w:lang w:val="en-US"/>
        </w:rPr>
      </w:pPr>
    </w:p>
    <w:p w:rsidR="00E5796D" w:rsidRPr="00E43EDA" w:rsidRDefault="00E5796D" w:rsidP="002F6413">
      <w:pPr>
        <w:jc w:val="both"/>
        <w:rPr>
          <w:rFonts w:ascii="Tahoma" w:hAnsi="Tahoma" w:cs="Tahoma"/>
          <w:sz w:val="24"/>
          <w:szCs w:val="24"/>
          <w:lang w:val="en-US"/>
        </w:rPr>
      </w:pPr>
      <w:r w:rsidRPr="00E43EDA">
        <w:rPr>
          <w:rFonts w:ascii="Tahoma" w:hAnsi="Tahoma" w:cs="Tahoma"/>
          <w:sz w:val="24"/>
          <w:szCs w:val="24"/>
          <w:lang w:val="en-US"/>
        </w:rPr>
        <w:t xml:space="preserve">Portugal </w:t>
      </w:r>
      <w:r w:rsidR="006C56A2" w:rsidRPr="00E43EDA">
        <w:rPr>
          <w:rFonts w:ascii="Tahoma" w:hAnsi="Tahoma" w:cs="Tahoma"/>
          <w:sz w:val="24"/>
          <w:szCs w:val="24"/>
          <w:lang w:val="en-US"/>
        </w:rPr>
        <w:t xml:space="preserve">got very strong conditions </w:t>
      </w:r>
      <w:r w:rsidR="00095FE8" w:rsidRPr="00E43EDA">
        <w:rPr>
          <w:rFonts w:ascii="Tahoma" w:hAnsi="Tahoma" w:cs="Tahoma"/>
          <w:sz w:val="24"/>
          <w:szCs w:val="24"/>
          <w:lang w:val="en-US"/>
        </w:rPr>
        <w:t>that the public sector was over</w:t>
      </w:r>
      <w:r w:rsidR="006C56A2" w:rsidRPr="00E43EDA">
        <w:rPr>
          <w:rFonts w:ascii="Tahoma" w:hAnsi="Tahoma" w:cs="Tahoma"/>
          <w:sz w:val="24"/>
          <w:szCs w:val="24"/>
          <w:lang w:val="en-US"/>
        </w:rPr>
        <w:t xml:space="preserve">sized and that </w:t>
      </w:r>
      <w:r w:rsidR="00095FE8" w:rsidRPr="00E43EDA">
        <w:rPr>
          <w:rFonts w:ascii="Tahoma" w:hAnsi="Tahoma" w:cs="Tahoma"/>
          <w:sz w:val="24"/>
          <w:szCs w:val="24"/>
          <w:lang w:val="en-US"/>
        </w:rPr>
        <w:t xml:space="preserve">it </w:t>
      </w:r>
      <w:r w:rsidR="006C56A2" w:rsidRPr="00E43EDA">
        <w:rPr>
          <w:rFonts w:ascii="Tahoma" w:hAnsi="Tahoma" w:cs="Tahoma"/>
          <w:sz w:val="24"/>
          <w:szCs w:val="24"/>
          <w:lang w:val="en-US"/>
        </w:rPr>
        <w:t xml:space="preserve">should be reduced as a part of the </w:t>
      </w:r>
      <w:proofErr w:type="gramStart"/>
      <w:r w:rsidR="00095FE8" w:rsidRPr="00E43EDA">
        <w:rPr>
          <w:rFonts w:ascii="Tahoma" w:hAnsi="Tahoma" w:cs="Tahoma"/>
          <w:sz w:val="24"/>
          <w:szCs w:val="24"/>
          <w:lang w:val="en-US"/>
        </w:rPr>
        <w:t>conditions which</w:t>
      </w:r>
      <w:proofErr w:type="gramEnd"/>
      <w:r w:rsidR="00095FE8" w:rsidRPr="00E43EDA">
        <w:rPr>
          <w:rFonts w:ascii="Tahoma" w:hAnsi="Tahoma" w:cs="Tahoma"/>
          <w:sz w:val="24"/>
          <w:szCs w:val="24"/>
          <w:lang w:val="en-US"/>
        </w:rPr>
        <w:t xml:space="preserve"> had to be fulfilled in order to obtain support. </w:t>
      </w:r>
      <w:r w:rsidR="005A3D8F" w:rsidRPr="00E43EDA">
        <w:rPr>
          <w:rFonts w:ascii="Tahoma" w:hAnsi="Tahoma" w:cs="Tahoma"/>
          <w:sz w:val="24"/>
          <w:szCs w:val="24"/>
          <w:lang w:val="en-US"/>
        </w:rPr>
        <w:t>Wage cuts in the public sector were envisaged in order to guarantee economic and financial recovery.</w:t>
      </w:r>
      <w:r w:rsidR="005A3D8F" w:rsidRPr="00E43EDA">
        <w:rPr>
          <w:rStyle w:val="FootnoteReference"/>
          <w:rFonts w:ascii="Tahoma" w:hAnsi="Tahoma" w:cs="Tahoma"/>
          <w:sz w:val="24"/>
          <w:szCs w:val="24"/>
          <w:lang w:val="en-US"/>
        </w:rPr>
        <w:footnoteReference w:id="10"/>
      </w:r>
      <w:r w:rsidR="005A3D8F" w:rsidRPr="00E43EDA">
        <w:rPr>
          <w:rFonts w:ascii="Tahoma" w:hAnsi="Tahoma" w:cs="Tahoma"/>
          <w:sz w:val="24"/>
          <w:szCs w:val="24"/>
          <w:lang w:val="en-US"/>
        </w:rPr>
        <w:t xml:space="preserve"> </w:t>
      </w:r>
    </w:p>
    <w:p w:rsidR="005A3D8F" w:rsidRPr="00E43EDA" w:rsidRDefault="005A3D8F" w:rsidP="002F6413">
      <w:pPr>
        <w:jc w:val="both"/>
        <w:rPr>
          <w:rFonts w:ascii="Tahoma" w:hAnsi="Tahoma" w:cs="Tahoma"/>
          <w:sz w:val="24"/>
          <w:szCs w:val="24"/>
          <w:lang w:val="en-US"/>
        </w:rPr>
      </w:pPr>
      <w:r w:rsidRPr="00E43EDA">
        <w:rPr>
          <w:rFonts w:ascii="Tahoma" w:hAnsi="Tahoma" w:cs="Tahoma"/>
          <w:sz w:val="24"/>
          <w:szCs w:val="24"/>
          <w:lang w:val="en-US"/>
        </w:rPr>
        <w:t>Spain had to undergo some major changes including a reform of the public sector.</w:t>
      </w:r>
      <w:r w:rsidR="00200397" w:rsidRPr="00E43EDA">
        <w:rPr>
          <w:rFonts w:ascii="Tahoma" w:hAnsi="Tahoma" w:cs="Tahoma"/>
          <w:sz w:val="24"/>
          <w:szCs w:val="24"/>
          <w:lang w:val="en-US"/>
        </w:rPr>
        <w:t xml:space="preserve"> However, the main focu</w:t>
      </w:r>
      <w:r w:rsidR="0012352B" w:rsidRPr="00E43EDA">
        <w:rPr>
          <w:rFonts w:ascii="Tahoma" w:hAnsi="Tahoma" w:cs="Tahoma"/>
          <w:sz w:val="24"/>
          <w:szCs w:val="24"/>
          <w:lang w:val="en-US"/>
        </w:rPr>
        <w:t>s</w:t>
      </w:r>
      <w:r w:rsidR="00200397" w:rsidRPr="00E43EDA">
        <w:rPr>
          <w:rFonts w:ascii="Tahoma" w:hAnsi="Tahoma" w:cs="Tahoma"/>
          <w:sz w:val="24"/>
          <w:szCs w:val="24"/>
          <w:lang w:val="en-US"/>
        </w:rPr>
        <w:t xml:space="preserve"> remained on the Spanish banking system.</w:t>
      </w:r>
      <w:r w:rsidRPr="00E43EDA">
        <w:rPr>
          <w:rFonts w:ascii="Tahoma" w:hAnsi="Tahoma" w:cs="Tahoma"/>
          <w:sz w:val="24"/>
          <w:szCs w:val="24"/>
          <w:lang w:val="en-US"/>
        </w:rPr>
        <w:t xml:space="preserve"> </w:t>
      </w:r>
      <w:r w:rsidR="00200397" w:rsidRPr="00E43EDA">
        <w:rPr>
          <w:rFonts w:ascii="Tahoma" w:hAnsi="Tahoma" w:cs="Tahoma"/>
          <w:sz w:val="24"/>
          <w:szCs w:val="24"/>
          <w:lang w:val="en-US"/>
        </w:rPr>
        <w:t>I</w:t>
      </w:r>
      <w:r w:rsidRPr="00E43EDA">
        <w:rPr>
          <w:rFonts w:ascii="Tahoma" w:hAnsi="Tahoma" w:cs="Tahoma"/>
          <w:sz w:val="24"/>
          <w:szCs w:val="24"/>
          <w:lang w:val="en-US"/>
        </w:rPr>
        <w:t xml:space="preserve">t may be important tot stress that </w:t>
      </w:r>
      <w:r w:rsidR="0012352B" w:rsidRPr="00E43EDA">
        <w:rPr>
          <w:rFonts w:ascii="Tahoma" w:hAnsi="Tahoma" w:cs="Tahoma"/>
          <w:sz w:val="24"/>
          <w:szCs w:val="24"/>
          <w:lang w:val="en-US"/>
        </w:rPr>
        <w:t>the most significant wage cut</w:t>
      </w:r>
      <w:r w:rsidR="009879A8">
        <w:rPr>
          <w:rFonts w:ascii="Tahoma" w:hAnsi="Tahoma" w:cs="Tahoma"/>
          <w:sz w:val="24"/>
          <w:szCs w:val="24"/>
          <w:lang w:val="en-US"/>
        </w:rPr>
        <w:t>s were</w:t>
      </w:r>
      <w:r w:rsidRPr="00E43EDA">
        <w:rPr>
          <w:rFonts w:ascii="Tahoma" w:hAnsi="Tahoma" w:cs="Tahoma"/>
          <w:sz w:val="24"/>
          <w:szCs w:val="24"/>
          <w:lang w:val="en-US"/>
        </w:rPr>
        <w:t xml:space="preserve"> </w:t>
      </w:r>
      <w:r w:rsidR="009879A8">
        <w:rPr>
          <w:rFonts w:ascii="Tahoma" w:hAnsi="Tahoma" w:cs="Tahoma"/>
          <w:sz w:val="24"/>
          <w:szCs w:val="24"/>
          <w:lang w:val="en-US"/>
        </w:rPr>
        <w:t>already taking</w:t>
      </w:r>
      <w:r w:rsidRPr="00E43EDA">
        <w:rPr>
          <w:rFonts w:ascii="Tahoma" w:hAnsi="Tahoma" w:cs="Tahoma"/>
          <w:sz w:val="24"/>
          <w:szCs w:val="24"/>
          <w:lang w:val="en-US"/>
        </w:rPr>
        <w:t xml:space="preserve"> place as from 2011. </w:t>
      </w:r>
      <w:r w:rsidR="00644140" w:rsidRPr="00E43EDA">
        <w:rPr>
          <w:rFonts w:ascii="Tahoma" w:hAnsi="Tahoma" w:cs="Tahoma"/>
          <w:sz w:val="24"/>
          <w:szCs w:val="24"/>
          <w:lang w:val="en-US"/>
        </w:rPr>
        <w:t>These wage cuts were enacted in a Royal decree Act 8/2010 of 20 May 2010. It implies that Spain, due to the huge impact of the financial crisis on this country, had already introduced proper measures in order to reduce the state deficit with measures having a large impact on employment law in the public sector. Spanish government explicitly indicated that such an urgent measure was necessary for economic recovery.</w:t>
      </w:r>
      <w:r w:rsidR="00644140" w:rsidRPr="00E43EDA">
        <w:rPr>
          <w:rStyle w:val="FootnoteReference"/>
          <w:rFonts w:ascii="Tahoma" w:hAnsi="Tahoma" w:cs="Tahoma"/>
          <w:sz w:val="24"/>
          <w:szCs w:val="24"/>
          <w:lang w:val="en-US"/>
        </w:rPr>
        <w:footnoteReference w:id="11"/>
      </w:r>
    </w:p>
    <w:p w:rsidR="00DC01A1" w:rsidRPr="00E43EDA" w:rsidRDefault="00DC01A1" w:rsidP="00DC01A1">
      <w:pPr>
        <w:autoSpaceDE w:val="0"/>
        <w:autoSpaceDN w:val="0"/>
        <w:adjustRightInd w:val="0"/>
        <w:spacing w:after="0" w:line="240" w:lineRule="auto"/>
        <w:jc w:val="both"/>
        <w:rPr>
          <w:rFonts w:ascii="Tahoma" w:eastAsia="LiberationSerif" w:hAnsi="Tahoma" w:cs="Tahoma"/>
          <w:sz w:val="24"/>
          <w:szCs w:val="24"/>
          <w:lang w:val="en-US"/>
        </w:rPr>
      </w:pPr>
      <w:r w:rsidRPr="00E43EDA">
        <w:rPr>
          <w:rFonts w:ascii="Tahoma" w:eastAsia="LiberationSerif" w:hAnsi="Tahoma" w:cs="Tahoma"/>
          <w:sz w:val="24"/>
          <w:szCs w:val="24"/>
          <w:lang w:val="en-US"/>
        </w:rPr>
        <w:t>The report for Belgium indicated that the country had a budget deficit of 3,4% in 2009 while the general government gross debt laid around 93%.</w:t>
      </w:r>
      <w:r w:rsidRPr="00E43EDA">
        <w:rPr>
          <w:rStyle w:val="FootnoteReference"/>
          <w:rFonts w:ascii="Tahoma" w:eastAsia="LiberationSerif" w:hAnsi="Tahoma" w:cs="Tahoma"/>
          <w:sz w:val="24"/>
          <w:szCs w:val="24"/>
          <w:lang w:val="en-US"/>
        </w:rPr>
        <w:footnoteReference w:id="12"/>
      </w:r>
      <w:r w:rsidR="0012352B" w:rsidRPr="00E43EDA">
        <w:rPr>
          <w:rFonts w:ascii="Tahoma" w:eastAsia="LiberationSerif" w:hAnsi="Tahoma" w:cs="Tahoma"/>
          <w:sz w:val="24"/>
          <w:szCs w:val="24"/>
          <w:lang w:val="en-US"/>
        </w:rPr>
        <w:t xml:space="preserve"> </w:t>
      </w:r>
      <w:r w:rsidRPr="00E43EDA">
        <w:rPr>
          <w:rFonts w:ascii="Tahoma" w:eastAsia="LiberationSerif" w:hAnsi="Tahoma" w:cs="Tahoma"/>
          <w:sz w:val="24"/>
          <w:szCs w:val="24"/>
          <w:lang w:val="en-US"/>
        </w:rPr>
        <w:t xml:space="preserve">The Commission indicated in its report that </w:t>
      </w:r>
      <w:proofErr w:type="gramStart"/>
      <w:r w:rsidRPr="00E43EDA">
        <w:rPr>
          <w:rFonts w:ascii="Tahoma" w:eastAsia="LiberationSerif" w:hAnsi="Tahoma" w:cs="Tahoma"/>
          <w:sz w:val="24"/>
          <w:szCs w:val="24"/>
          <w:lang w:val="en-US"/>
        </w:rPr>
        <w:t>the the</w:t>
      </w:r>
      <w:proofErr w:type="gramEnd"/>
      <w:r w:rsidRPr="00E43EDA">
        <w:rPr>
          <w:rFonts w:ascii="Tahoma" w:eastAsia="LiberationSerif" w:hAnsi="Tahoma" w:cs="Tahoma"/>
          <w:sz w:val="24"/>
          <w:szCs w:val="24"/>
          <w:lang w:val="en-US"/>
        </w:rPr>
        <w:t xml:space="preserve"> deficit may reach 4,5% in 2009 and even 6,1% in 2010. The Commission was afraid that the government deficit would turn out much higher in 2010 and thus not anymore close to the reference value.  Furthermore, Belgium has a high level of state </w:t>
      </w:r>
      <w:proofErr w:type="gramStart"/>
      <w:r w:rsidRPr="00E43EDA">
        <w:rPr>
          <w:rFonts w:ascii="Tahoma" w:eastAsia="LiberationSerif" w:hAnsi="Tahoma" w:cs="Tahoma"/>
          <w:sz w:val="24"/>
          <w:szCs w:val="24"/>
          <w:lang w:val="en-US"/>
        </w:rPr>
        <w:t>debt which</w:t>
      </w:r>
      <w:proofErr w:type="gramEnd"/>
      <w:r w:rsidRPr="00E43EDA">
        <w:rPr>
          <w:rFonts w:ascii="Tahoma" w:eastAsia="LiberationSerif" w:hAnsi="Tahoma" w:cs="Tahoma"/>
          <w:sz w:val="24"/>
          <w:szCs w:val="24"/>
          <w:lang w:val="en-US"/>
        </w:rPr>
        <w:t xml:space="preserve"> was supposed to increase to about 100 % in 2010.</w:t>
      </w:r>
      <w:r w:rsidRPr="00E43EDA">
        <w:rPr>
          <w:rStyle w:val="FootnoteReference"/>
          <w:rFonts w:ascii="Tahoma" w:eastAsia="LiberationSerif" w:hAnsi="Tahoma" w:cs="Tahoma"/>
          <w:sz w:val="24"/>
          <w:szCs w:val="24"/>
          <w:lang w:val="en-US"/>
        </w:rPr>
        <w:footnoteReference w:id="13"/>
      </w:r>
      <w:r w:rsidRPr="00E43EDA">
        <w:rPr>
          <w:rFonts w:ascii="Tahoma" w:eastAsia="LiberationSerif" w:hAnsi="Tahoma" w:cs="Tahoma"/>
          <w:sz w:val="24"/>
          <w:szCs w:val="24"/>
          <w:lang w:val="en-US"/>
        </w:rPr>
        <w:t xml:space="preserve"> This high public depth is due to large public investments in the seventies.</w:t>
      </w:r>
      <w:r w:rsidRPr="00E43EDA">
        <w:rPr>
          <w:rStyle w:val="FootnoteReference"/>
          <w:rFonts w:ascii="Tahoma" w:eastAsia="LiberationSerif" w:hAnsi="Tahoma" w:cs="Tahoma"/>
          <w:sz w:val="24"/>
          <w:szCs w:val="24"/>
          <w:lang w:val="en-US"/>
        </w:rPr>
        <w:footnoteReference w:id="14"/>
      </w:r>
      <w:r w:rsidRPr="00E43EDA">
        <w:rPr>
          <w:rFonts w:ascii="Tahoma" w:eastAsia="LiberationSerif" w:hAnsi="Tahoma" w:cs="Tahoma"/>
          <w:sz w:val="24"/>
          <w:szCs w:val="24"/>
          <w:lang w:val="en-US"/>
        </w:rPr>
        <w:t xml:space="preserve"> The EU Commission indicates that further pension reforms remain necessary in order to prevent further potential difficulties with the budget stability. For Belgium, given the large impact of the state debt (which may exceed 100%), the Commission put forward a deadline at the end of 2012.</w:t>
      </w:r>
    </w:p>
    <w:p w:rsidR="00DC01A1" w:rsidRPr="00E43EDA" w:rsidRDefault="00DC01A1" w:rsidP="00DC01A1">
      <w:pPr>
        <w:autoSpaceDE w:val="0"/>
        <w:autoSpaceDN w:val="0"/>
        <w:adjustRightInd w:val="0"/>
        <w:spacing w:after="0" w:line="240" w:lineRule="auto"/>
        <w:jc w:val="both"/>
        <w:rPr>
          <w:rFonts w:ascii="Tahoma" w:eastAsia="LiberationSerif" w:hAnsi="Tahoma" w:cs="Tahoma"/>
          <w:sz w:val="24"/>
          <w:szCs w:val="24"/>
          <w:lang w:val="en-US"/>
        </w:rPr>
      </w:pPr>
    </w:p>
    <w:p w:rsidR="00DC01A1" w:rsidRPr="00E43EDA" w:rsidRDefault="00DC01A1" w:rsidP="00DC01A1">
      <w:pPr>
        <w:autoSpaceDE w:val="0"/>
        <w:autoSpaceDN w:val="0"/>
        <w:adjustRightInd w:val="0"/>
        <w:spacing w:after="0" w:line="240" w:lineRule="auto"/>
        <w:jc w:val="both"/>
        <w:rPr>
          <w:rFonts w:ascii="Tahoma" w:eastAsia="LiberationSerif" w:hAnsi="Tahoma" w:cs="Tahoma"/>
          <w:sz w:val="24"/>
          <w:szCs w:val="24"/>
          <w:lang w:val="en-US"/>
        </w:rPr>
      </w:pPr>
      <w:r w:rsidRPr="00E43EDA">
        <w:rPr>
          <w:rFonts w:ascii="Tahoma" w:eastAsia="LiberationSerif" w:hAnsi="Tahoma" w:cs="Tahoma"/>
          <w:sz w:val="24"/>
          <w:szCs w:val="24"/>
          <w:lang w:val="en-US"/>
        </w:rPr>
        <w:t xml:space="preserve">The report on the Netherlands did not provide similar very bad figures. The budget deficit of the Netherlands was limited to 3,3 % according to the planning in 2009, but the Commission indicated that the deficit may grow till 6,1% of </w:t>
      </w:r>
      <w:proofErr w:type="gramStart"/>
      <w:r w:rsidRPr="00E43EDA">
        <w:rPr>
          <w:rFonts w:ascii="Tahoma" w:eastAsia="LiberationSerif" w:hAnsi="Tahoma" w:cs="Tahoma"/>
          <w:sz w:val="24"/>
          <w:szCs w:val="24"/>
          <w:lang w:val="en-US"/>
        </w:rPr>
        <w:t>the of</w:t>
      </w:r>
      <w:proofErr w:type="gramEnd"/>
      <w:r w:rsidRPr="00E43EDA">
        <w:rPr>
          <w:rFonts w:ascii="Tahoma" w:eastAsia="LiberationSerif" w:hAnsi="Tahoma" w:cs="Tahoma"/>
          <w:sz w:val="24"/>
          <w:szCs w:val="24"/>
          <w:lang w:val="en-US"/>
        </w:rPr>
        <w:t xml:space="preserve"> the GDP in 2010.</w:t>
      </w:r>
      <w:r w:rsidR="00511C8B" w:rsidRPr="00E43EDA">
        <w:rPr>
          <w:rFonts w:ascii="Tahoma" w:eastAsia="LiberationSerif" w:hAnsi="Tahoma" w:cs="Tahoma"/>
          <w:sz w:val="24"/>
          <w:szCs w:val="24"/>
          <w:lang w:val="en-US"/>
        </w:rPr>
        <w:t xml:space="preserve"> </w:t>
      </w:r>
      <w:r w:rsidRPr="00E43EDA">
        <w:rPr>
          <w:rFonts w:ascii="Tahoma" w:eastAsia="LiberationSerif" w:hAnsi="Tahoma" w:cs="Tahoma"/>
          <w:sz w:val="24"/>
          <w:szCs w:val="24"/>
          <w:lang w:val="en-US"/>
        </w:rPr>
        <w:t xml:space="preserve">The state debt could grow between 2009 and 2010 from 57% to 63 </w:t>
      </w:r>
      <w:proofErr w:type="gramStart"/>
      <w:r w:rsidRPr="00E43EDA">
        <w:rPr>
          <w:rFonts w:ascii="Tahoma" w:eastAsia="LiberationSerif" w:hAnsi="Tahoma" w:cs="Tahoma"/>
          <w:sz w:val="24"/>
          <w:szCs w:val="24"/>
          <w:lang w:val="en-US"/>
        </w:rPr>
        <w:t>% which</w:t>
      </w:r>
      <w:proofErr w:type="gramEnd"/>
      <w:r w:rsidRPr="00E43EDA">
        <w:rPr>
          <w:rFonts w:ascii="Tahoma" w:eastAsia="LiberationSerif" w:hAnsi="Tahoma" w:cs="Tahoma"/>
          <w:sz w:val="24"/>
          <w:szCs w:val="24"/>
          <w:lang w:val="en-US"/>
        </w:rPr>
        <w:t xml:space="preserve"> is a small excess of the 60% provided by the provisions of the Treaty. The Commission put forward a deadline by 2013 for the Netherlands to reduce the budgetary deficit and to reduce the state debt ratio while the excessive state debt.</w:t>
      </w:r>
    </w:p>
    <w:p w:rsidR="00DC01A1" w:rsidRPr="00E43EDA" w:rsidRDefault="00DC01A1" w:rsidP="002F6413">
      <w:pPr>
        <w:jc w:val="both"/>
        <w:rPr>
          <w:rFonts w:ascii="Tahoma" w:hAnsi="Tahoma" w:cs="Tahoma"/>
          <w:sz w:val="24"/>
          <w:szCs w:val="24"/>
          <w:lang w:val="en-US"/>
        </w:rPr>
      </w:pPr>
    </w:p>
    <w:p w:rsidR="005A3D8F" w:rsidRPr="00E43EDA" w:rsidRDefault="005A3D8F" w:rsidP="005A3D8F">
      <w:pPr>
        <w:pStyle w:val="ListParagraph"/>
        <w:numPr>
          <w:ilvl w:val="0"/>
          <w:numId w:val="8"/>
        </w:numPr>
        <w:jc w:val="both"/>
        <w:rPr>
          <w:rFonts w:ascii="Tahoma" w:hAnsi="Tahoma" w:cs="Tahoma"/>
          <w:sz w:val="24"/>
          <w:szCs w:val="24"/>
          <w:lang w:val="en-US"/>
        </w:rPr>
      </w:pPr>
      <w:r w:rsidRPr="00E43EDA">
        <w:rPr>
          <w:rFonts w:ascii="Tahoma" w:hAnsi="Tahoma" w:cs="Tahoma"/>
          <w:sz w:val="24"/>
          <w:szCs w:val="24"/>
          <w:lang w:val="en-US"/>
        </w:rPr>
        <w:lastRenderedPageBreak/>
        <w:t>The national reforms in order to realize the objectives</w:t>
      </w:r>
    </w:p>
    <w:p w:rsidR="00FC297D" w:rsidRPr="00E43EDA" w:rsidRDefault="0062084F" w:rsidP="002F6413">
      <w:pPr>
        <w:jc w:val="both"/>
        <w:rPr>
          <w:rFonts w:ascii="Tahoma" w:hAnsi="Tahoma" w:cs="Tahoma"/>
          <w:sz w:val="24"/>
          <w:szCs w:val="24"/>
          <w:lang w:val="en-US"/>
        </w:rPr>
      </w:pPr>
      <w:r w:rsidRPr="00E43EDA">
        <w:rPr>
          <w:rFonts w:ascii="Tahoma" w:hAnsi="Tahoma" w:cs="Tahoma"/>
          <w:sz w:val="24"/>
          <w:szCs w:val="24"/>
          <w:lang w:val="en-US"/>
        </w:rPr>
        <w:t>The handling by the EU of the financial crisis led to the obligation for each of the countries studied to cut</w:t>
      </w:r>
      <w:r w:rsidR="00A12CD3" w:rsidRPr="00E43EDA">
        <w:rPr>
          <w:rFonts w:ascii="Tahoma" w:hAnsi="Tahoma" w:cs="Tahoma"/>
          <w:sz w:val="24"/>
          <w:szCs w:val="24"/>
          <w:lang w:val="en-US"/>
        </w:rPr>
        <w:t xml:space="preserve"> in public spending. We will analyze how the mandatory cuts </w:t>
      </w:r>
      <w:r w:rsidRPr="00E43EDA">
        <w:rPr>
          <w:rFonts w:ascii="Tahoma" w:hAnsi="Tahoma" w:cs="Tahoma"/>
          <w:sz w:val="24"/>
          <w:szCs w:val="24"/>
          <w:lang w:val="en-US"/>
        </w:rPr>
        <w:t xml:space="preserve">with regard to </w:t>
      </w:r>
      <w:r w:rsidR="00A12CD3" w:rsidRPr="00E43EDA">
        <w:rPr>
          <w:rFonts w:ascii="Tahoma" w:hAnsi="Tahoma" w:cs="Tahoma"/>
          <w:sz w:val="24"/>
          <w:szCs w:val="24"/>
          <w:lang w:val="en-US"/>
        </w:rPr>
        <w:t>the legal framework of all cou</w:t>
      </w:r>
      <w:r w:rsidRPr="00E43EDA">
        <w:rPr>
          <w:rFonts w:ascii="Tahoma" w:hAnsi="Tahoma" w:cs="Tahoma"/>
          <w:sz w:val="24"/>
          <w:szCs w:val="24"/>
          <w:lang w:val="en-US"/>
        </w:rPr>
        <w:t>ntries</w:t>
      </w:r>
      <w:r w:rsidR="00A12CD3" w:rsidRPr="00E43EDA">
        <w:rPr>
          <w:rFonts w:ascii="Tahoma" w:hAnsi="Tahoma" w:cs="Tahoma"/>
          <w:sz w:val="24"/>
          <w:szCs w:val="24"/>
          <w:lang w:val="en-US"/>
        </w:rPr>
        <w:t xml:space="preserve">. </w:t>
      </w:r>
      <w:r w:rsidR="00FC297D" w:rsidRPr="00E43EDA">
        <w:rPr>
          <w:rFonts w:ascii="Tahoma" w:hAnsi="Tahoma" w:cs="Tahoma"/>
          <w:sz w:val="24"/>
          <w:szCs w:val="24"/>
          <w:lang w:val="en-US"/>
        </w:rPr>
        <w:t xml:space="preserve"> </w:t>
      </w:r>
    </w:p>
    <w:p w:rsidR="00DC01A1" w:rsidRPr="00E43EDA" w:rsidRDefault="00DC01A1" w:rsidP="00DC01A1">
      <w:pPr>
        <w:pStyle w:val="ListParagraph"/>
        <w:numPr>
          <w:ilvl w:val="0"/>
          <w:numId w:val="9"/>
        </w:numPr>
        <w:jc w:val="both"/>
        <w:rPr>
          <w:rFonts w:ascii="Tahoma" w:hAnsi="Tahoma" w:cs="Tahoma"/>
          <w:sz w:val="24"/>
          <w:szCs w:val="24"/>
          <w:lang w:val="en-US"/>
        </w:rPr>
      </w:pPr>
      <w:r w:rsidRPr="00E43EDA">
        <w:rPr>
          <w:rFonts w:ascii="Tahoma" w:hAnsi="Tahoma" w:cs="Tahoma"/>
          <w:sz w:val="24"/>
          <w:szCs w:val="24"/>
          <w:lang w:val="en-US"/>
        </w:rPr>
        <w:t>Portugal</w:t>
      </w:r>
    </w:p>
    <w:p w:rsidR="00606195" w:rsidRPr="00E43EDA" w:rsidRDefault="009C28C3" w:rsidP="002F6413">
      <w:pPr>
        <w:jc w:val="both"/>
        <w:rPr>
          <w:rFonts w:ascii="Tahoma" w:hAnsi="Tahoma" w:cs="Tahoma"/>
          <w:sz w:val="24"/>
          <w:szCs w:val="24"/>
          <w:lang w:val="en-US"/>
        </w:rPr>
      </w:pPr>
      <w:r w:rsidRPr="00E43EDA">
        <w:rPr>
          <w:rFonts w:ascii="Tahoma" w:hAnsi="Tahoma" w:cs="Tahoma"/>
          <w:sz w:val="24"/>
          <w:szCs w:val="24"/>
          <w:lang w:val="en-US"/>
        </w:rPr>
        <w:t xml:space="preserve">The Directorate-General for Economic and Financial Affairs published a first report on </w:t>
      </w:r>
      <w:r w:rsidRPr="00E43EDA">
        <w:rPr>
          <w:rFonts w:ascii="Tahoma" w:hAnsi="Tahoma" w:cs="Tahoma"/>
          <w:i/>
          <w:sz w:val="24"/>
          <w:szCs w:val="24"/>
          <w:lang w:val="en-US"/>
        </w:rPr>
        <w:t>the Economic Adjustment Program for Portugal</w:t>
      </w:r>
      <w:r w:rsidRPr="00E43EDA">
        <w:rPr>
          <w:rFonts w:ascii="Tahoma" w:hAnsi="Tahoma" w:cs="Tahoma"/>
          <w:sz w:val="24"/>
          <w:szCs w:val="24"/>
          <w:lang w:val="en-US"/>
        </w:rPr>
        <w:t xml:space="preserve"> in June 2011. This report </w:t>
      </w:r>
      <w:r w:rsidR="00D57408" w:rsidRPr="00E43EDA">
        <w:rPr>
          <w:rFonts w:ascii="Tahoma" w:hAnsi="Tahoma" w:cs="Tahoma"/>
          <w:sz w:val="24"/>
          <w:szCs w:val="24"/>
          <w:lang w:val="en-US"/>
        </w:rPr>
        <w:t xml:space="preserve">provided important </w:t>
      </w:r>
      <w:r w:rsidR="0033732C" w:rsidRPr="00E43EDA">
        <w:rPr>
          <w:rFonts w:ascii="Tahoma" w:hAnsi="Tahoma" w:cs="Tahoma"/>
          <w:sz w:val="24"/>
          <w:szCs w:val="24"/>
          <w:lang w:val="en-US"/>
        </w:rPr>
        <w:t xml:space="preserve">changes in the public sector and to the pensions in the public sector. Portuguese government </w:t>
      </w:r>
      <w:r w:rsidR="004E3060" w:rsidRPr="00E43EDA">
        <w:rPr>
          <w:rFonts w:ascii="Tahoma" w:hAnsi="Tahoma" w:cs="Tahoma"/>
          <w:sz w:val="24"/>
          <w:szCs w:val="24"/>
          <w:lang w:val="en-US"/>
        </w:rPr>
        <w:t xml:space="preserve">proposed to cut </w:t>
      </w:r>
      <w:r w:rsidR="00511C8B" w:rsidRPr="00E43EDA">
        <w:rPr>
          <w:rFonts w:ascii="Tahoma" w:hAnsi="Tahoma" w:cs="Tahoma"/>
          <w:sz w:val="24"/>
          <w:szCs w:val="24"/>
          <w:lang w:val="en-US"/>
        </w:rPr>
        <w:t>harshly</w:t>
      </w:r>
      <w:r w:rsidR="004E3060" w:rsidRPr="00E43EDA">
        <w:rPr>
          <w:rFonts w:ascii="Tahoma" w:hAnsi="Tahoma" w:cs="Tahoma"/>
          <w:sz w:val="24"/>
          <w:szCs w:val="24"/>
          <w:lang w:val="en-US"/>
        </w:rPr>
        <w:t xml:space="preserve"> in the public sector. Public sector reduction</w:t>
      </w:r>
      <w:r w:rsidR="00AD0DB8" w:rsidRPr="00E43EDA">
        <w:rPr>
          <w:rFonts w:ascii="Tahoma" w:hAnsi="Tahoma" w:cs="Tahoma"/>
          <w:sz w:val="24"/>
          <w:szCs w:val="24"/>
          <w:lang w:val="en-US"/>
        </w:rPr>
        <w:t xml:space="preserve">s had to be executed as a consequence of this report. Portuguese government proposed to cut in </w:t>
      </w:r>
      <w:r w:rsidR="00656709" w:rsidRPr="00E43EDA">
        <w:rPr>
          <w:rFonts w:ascii="Tahoma" w:hAnsi="Tahoma" w:cs="Tahoma"/>
          <w:sz w:val="24"/>
          <w:szCs w:val="24"/>
          <w:lang w:val="en-US"/>
        </w:rPr>
        <w:t xml:space="preserve">2011 wages in the public sector with five percent. </w:t>
      </w:r>
      <w:r w:rsidR="00167BC5" w:rsidRPr="00E43EDA">
        <w:rPr>
          <w:rFonts w:ascii="Tahoma" w:hAnsi="Tahoma" w:cs="Tahoma"/>
          <w:sz w:val="24"/>
          <w:szCs w:val="24"/>
          <w:lang w:val="en-US"/>
        </w:rPr>
        <w:t xml:space="preserve">From 2012 on, the wages and pensions were frozen in the public sector and </w:t>
      </w:r>
      <w:proofErr w:type="gramStart"/>
      <w:r w:rsidR="00167BC5" w:rsidRPr="00E43EDA">
        <w:rPr>
          <w:rFonts w:ascii="Tahoma" w:hAnsi="Tahoma" w:cs="Tahoma"/>
          <w:sz w:val="24"/>
          <w:szCs w:val="24"/>
          <w:lang w:val="en-US"/>
        </w:rPr>
        <w:t xml:space="preserve">a special contribution on pensions in the public sector above 1500 </w:t>
      </w:r>
      <w:r w:rsidR="00511C8B" w:rsidRPr="00E43EDA">
        <w:rPr>
          <w:rFonts w:ascii="Tahoma" w:hAnsi="Tahoma" w:cs="Tahoma"/>
          <w:sz w:val="24"/>
          <w:szCs w:val="24"/>
          <w:lang w:val="en-US"/>
        </w:rPr>
        <w:t>euro</w:t>
      </w:r>
      <w:r w:rsidR="00167BC5" w:rsidRPr="00E43EDA">
        <w:rPr>
          <w:rFonts w:ascii="Tahoma" w:hAnsi="Tahoma" w:cs="Tahoma"/>
          <w:sz w:val="24"/>
          <w:szCs w:val="24"/>
          <w:lang w:val="en-US"/>
        </w:rPr>
        <w:t xml:space="preserve"> were</w:t>
      </w:r>
      <w:proofErr w:type="gramEnd"/>
      <w:r w:rsidR="00167BC5" w:rsidRPr="00E43EDA">
        <w:rPr>
          <w:rFonts w:ascii="Tahoma" w:hAnsi="Tahoma" w:cs="Tahoma"/>
          <w:sz w:val="24"/>
          <w:szCs w:val="24"/>
          <w:lang w:val="en-US"/>
        </w:rPr>
        <w:t xml:space="preserve"> to be introduced in the public sector. These were the plans of th</w:t>
      </w:r>
      <w:r w:rsidR="00DA0327" w:rsidRPr="00E43EDA">
        <w:rPr>
          <w:rFonts w:ascii="Tahoma" w:hAnsi="Tahoma" w:cs="Tahoma"/>
          <w:sz w:val="24"/>
          <w:szCs w:val="24"/>
          <w:lang w:val="en-US"/>
        </w:rPr>
        <w:t>e Portuguese government in the M</w:t>
      </w:r>
      <w:r w:rsidR="00167BC5" w:rsidRPr="00E43EDA">
        <w:rPr>
          <w:rFonts w:ascii="Tahoma" w:hAnsi="Tahoma" w:cs="Tahoma"/>
          <w:sz w:val="24"/>
          <w:szCs w:val="24"/>
          <w:lang w:val="en-US"/>
        </w:rPr>
        <w:t xml:space="preserve">emorandum </w:t>
      </w:r>
      <w:r w:rsidR="00DA0327" w:rsidRPr="00E43EDA">
        <w:rPr>
          <w:rFonts w:ascii="Tahoma" w:hAnsi="Tahoma" w:cs="Tahoma"/>
          <w:sz w:val="24"/>
          <w:szCs w:val="24"/>
          <w:lang w:val="en-US"/>
        </w:rPr>
        <w:t xml:space="preserve">of Understanding. </w:t>
      </w:r>
    </w:p>
    <w:p w:rsidR="00DC01A1" w:rsidRPr="00E43EDA" w:rsidRDefault="00DC01A1" w:rsidP="002F6413">
      <w:pPr>
        <w:jc w:val="both"/>
        <w:rPr>
          <w:rFonts w:ascii="Tahoma" w:hAnsi="Tahoma" w:cs="Tahoma"/>
          <w:sz w:val="24"/>
          <w:szCs w:val="24"/>
          <w:lang w:val="en-US"/>
        </w:rPr>
      </w:pPr>
      <w:r w:rsidRPr="00E43EDA">
        <w:rPr>
          <w:rFonts w:ascii="Tahoma" w:hAnsi="Tahoma" w:cs="Tahoma"/>
          <w:sz w:val="24"/>
          <w:szCs w:val="24"/>
          <w:lang w:val="en-US"/>
        </w:rPr>
        <w:t xml:space="preserve">It may be important to indicate that Portugal had already undergone an important reform on 29 December 2005, which brought the pension regime of officials within the scope of the Act on Pension Reform nr. </w:t>
      </w:r>
      <w:proofErr w:type="gramStart"/>
      <w:r w:rsidRPr="00E43EDA">
        <w:rPr>
          <w:rFonts w:ascii="Tahoma" w:hAnsi="Tahoma" w:cs="Tahoma"/>
          <w:sz w:val="24"/>
          <w:szCs w:val="24"/>
          <w:lang w:val="en-US"/>
        </w:rPr>
        <w:t>60/2005 of the Portuguese Parliament.</w:t>
      </w:r>
      <w:proofErr w:type="gramEnd"/>
      <w:r w:rsidRPr="00E43EDA">
        <w:rPr>
          <w:rStyle w:val="FootnoteReference"/>
          <w:rFonts w:ascii="Tahoma" w:hAnsi="Tahoma" w:cs="Tahoma"/>
          <w:sz w:val="24"/>
          <w:szCs w:val="24"/>
          <w:lang w:val="en-US"/>
        </w:rPr>
        <w:footnoteReference w:id="15"/>
      </w:r>
      <w:r w:rsidR="005767E2" w:rsidRPr="00E43EDA">
        <w:rPr>
          <w:rFonts w:ascii="Tahoma" w:hAnsi="Tahoma" w:cs="Tahoma"/>
          <w:sz w:val="24"/>
          <w:szCs w:val="24"/>
          <w:lang w:val="en-US"/>
        </w:rPr>
        <w:t xml:space="preserve"> The age for a penalty free pension </w:t>
      </w:r>
      <w:r w:rsidR="009879A8">
        <w:rPr>
          <w:rFonts w:ascii="Tahoma" w:hAnsi="Tahoma" w:cs="Tahoma"/>
          <w:sz w:val="24"/>
          <w:szCs w:val="24"/>
          <w:lang w:val="en-US"/>
        </w:rPr>
        <w:t xml:space="preserve">in the public sector </w:t>
      </w:r>
      <w:r w:rsidR="005767E2" w:rsidRPr="00E43EDA">
        <w:rPr>
          <w:rFonts w:ascii="Tahoma" w:hAnsi="Tahoma" w:cs="Tahoma"/>
          <w:sz w:val="24"/>
          <w:szCs w:val="24"/>
          <w:lang w:val="en-US"/>
        </w:rPr>
        <w:t>was lifted from 60 years to 65 years of age, while the career length was prolonged from 36 years to 40 years.</w:t>
      </w:r>
      <w:r w:rsidR="00B25B5B" w:rsidRPr="00E43EDA">
        <w:rPr>
          <w:rFonts w:ascii="Tahoma" w:hAnsi="Tahoma" w:cs="Tahoma"/>
          <w:sz w:val="24"/>
          <w:szCs w:val="24"/>
          <w:lang w:val="en-US"/>
        </w:rPr>
        <w:t xml:space="preserve"> This means that the historically better pension regulation for officials (which was a consequence of the idea that officials historically received a better pension because they</w:t>
      </w:r>
      <w:r w:rsidR="005767E2" w:rsidRPr="00E43EDA">
        <w:rPr>
          <w:rFonts w:ascii="Tahoma" w:hAnsi="Tahoma" w:cs="Tahoma"/>
          <w:sz w:val="24"/>
          <w:szCs w:val="24"/>
          <w:lang w:val="en-US"/>
        </w:rPr>
        <w:t xml:space="preserve"> had served for public interest</w:t>
      </w:r>
      <w:r w:rsidR="00B25B5B" w:rsidRPr="00E43EDA">
        <w:rPr>
          <w:rFonts w:ascii="Tahoma" w:hAnsi="Tahoma" w:cs="Tahoma"/>
          <w:sz w:val="24"/>
          <w:szCs w:val="24"/>
          <w:lang w:val="en-US"/>
        </w:rPr>
        <w:t>)</w:t>
      </w:r>
      <w:r w:rsidR="005767E2" w:rsidRPr="00E43EDA">
        <w:rPr>
          <w:rFonts w:ascii="Tahoma" w:hAnsi="Tahoma" w:cs="Tahoma"/>
          <w:sz w:val="24"/>
          <w:szCs w:val="24"/>
          <w:lang w:val="en-US"/>
        </w:rPr>
        <w:t xml:space="preserve"> was at least partially hampered.</w:t>
      </w:r>
      <w:r w:rsidRPr="00E43EDA">
        <w:rPr>
          <w:rFonts w:ascii="Tahoma" w:hAnsi="Tahoma" w:cs="Tahoma"/>
          <w:sz w:val="24"/>
          <w:szCs w:val="24"/>
          <w:lang w:val="en-US"/>
        </w:rPr>
        <w:t xml:space="preserve">  </w:t>
      </w:r>
    </w:p>
    <w:p w:rsidR="0012352B" w:rsidRPr="00E43EDA" w:rsidRDefault="009879A8" w:rsidP="002F6413">
      <w:pPr>
        <w:jc w:val="both"/>
        <w:rPr>
          <w:rFonts w:ascii="Tahoma" w:hAnsi="Tahoma" w:cs="Tahoma"/>
          <w:sz w:val="24"/>
          <w:szCs w:val="24"/>
          <w:lang w:val="en-US"/>
        </w:rPr>
      </w:pPr>
      <w:r>
        <w:rPr>
          <w:rFonts w:ascii="Tahoma" w:hAnsi="Tahoma" w:cs="Tahoma"/>
          <w:sz w:val="24"/>
          <w:szCs w:val="24"/>
          <w:lang w:val="en-US"/>
        </w:rPr>
        <w:t>Though, t</w:t>
      </w:r>
      <w:r w:rsidR="00511C8B" w:rsidRPr="00E43EDA">
        <w:rPr>
          <w:rFonts w:ascii="Tahoma" w:hAnsi="Tahoma" w:cs="Tahoma"/>
          <w:sz w:val="24"/>
          <w:szCs w:val="24"/>
          <w:lang w:val="en-US"/>
        </w:rPr>
        <w:t xml:space="preserve">he economic and financial adjustment programme for Portugal requested new and more profound reforms of spending in the public sector. </w:t>
      </w:r>
      <w:proofErr w:type="gramStart"/>
      <w:r>
        <w:rPr>
          <w:rFonts w:ascii="Tahoma" w:hAnsi="Tahoma" w:cs="Tahoma"/>
          <w:sz w:val="24"/>
          <w:szCs w:val="24"/>
          <w:lang w:val="en-US"/>
        </w:rPr>
        <w:t>T</w:t>
      </w:r>
      <w:r w:rsidR="009E4751" w:rsidRPr="00E43EDA">
        <w:rPr>
          <w:rFonts w:ascii="Tahoma" w:hAnsi="Tahoma" w:cs="Tahoma"/>
          <w:sz w:val="24"/>
          <w:szCs w:val="24"/>
          <w:lang w:val="en-US"/>
        </w:rPr>
        <w:t>hese new</w:t>
      </w:r>
      <w:r w:rsidR="00932146" w:rsidRPr="00E43EDA">
        <w:rPr>
          <w:rFonts w:ascii="Tahoma" w:hAnsi="Tahoma" w:cs="Tahoma"/>
          <w:sz w:val="24"/>
          <w:szCs w:val="24"/>
          <w:lang w:val="en-US"/>
        </w:rPr>
        <w:t xml:space="preserve"> provisions were very often submitted to review by the Constitutional Court</w:t>
      </w:r>
      <w:proofErr w:type="gramEnd"/>
      <w:r w:rsidR="00932146" w:rsidRPr="00E43EDA">
        <w:rPr>
          <w:rFonts w:ascii="Tahoma" w:hAnsi="Tahoma" w:cs="Tahoma"/>
          <w:sz w:val="24"/>
          <w:szCs w:val="24"/>
          <w:lang w:val="en-US"/>
        </w:rPr>
        <w:t xml:space="preserve">. The Portuguese Constitutional Court has delivered three decisions since the </w:t>
      </w:r>
      <w:proofErr w:type="gramStart"/>
      <w:r w:rsidR="00932146" w:rsidRPr="00E43EDA">
        <w:rPr>
          <w:rFonts w:ascii="Tahoma" w:hAnsi="Tahoma" w:cs="Tahoma"/>
          <w:sz w:val="24"/>
          <w:szCs w:val="24"/>
          <w:lang w:val="en-US"/>
        </w:rPr>
        <w:t>reform which</w:t>
      </w:r>
      <w:proofErr w:type="gramEnd"/>
      <w:r w:rsidR="00932146" w:rsidRPr="00E43EDA">
        <w:rPr>
          <w:rFonts w:ascii="Tahoma" w:hAnsi="Tahoma" w:cs="Tahoma"/>
          <w:sz w:val="24"/>
          <w:szCs w:val="24"/>
          <w:lang w:val="en-US"/>
        </w:rPr>
        <w:t xml:space="preserve"> may have an important influence on the </w:t>
      </w:r>
      <w:r w:rsidR="00D8396C" w:rsidRPr="00E43EDA">
        <w:rPr>
          <w:rFonts w:ascii="Tahoma" w:hAnsi="Tahoma" w:cs="Tahoma"/>
          <w:sz w:val="24"/>
          <w:szCs w:val="24"/>
          <w:lang w:val="en-US"/>
        </w:rPr>
        <w:t xml:space="preserve">pension system of the officials. </w:t>
      </w:r>
    </w:p>
    <w:p w:rsidR="0012352B" w:rsidRPr="00E43EDA" w:rsidRDefault="001027FE" w:rsidP="002F6413">
      <w:pPr>
        <w:jc w:val="both"/>
        <w:rPr>
          <w:rFonts w:ascii="Tahoma" w:hAnsi="Tahoma" w:cs="Tahoma"/>
          <w:sz w:val="24"/>
          <w:szCs w:val="24"/>
          <w:lang w:val="en-US"/>
        </w:rPr>
      </w:pPr>
      <w:r w:rsidRPr="00E43EDA">
        <w:rPr>
          <w:rFonts w:ascii="Tahoma" w:hAnsi="Tahoma" w:cs="Tahoma"/>
          <w:sz w:val="24"/>
          <w:szCs w:val="24"/>
          <w:lang w:val="en-US"/>
        </w:rPr>
        <w:t>The first important decision concerned decision 353/2012 where the Constitutional Court decided that the suspension of the Christmas pay (13</w:t>
      </w:r>
      <w:r w:rsidRPr="00E43EDA">
        <w:rPr>
          <w:rFonts w:ascii="Tahoma" w:hAnsi="Tahoma" w:cs="Tahoma"/>
          <w:sz w:val="24"/>
          <w:szCs w:val="24"/>
          <w:vertAlign w:val="superscript"/>
          <w:lang w:val="en-US"/>
        </w:rPr>
        <w:t>th</w:t>
      </w:r>
      <w:r w:rsidRPr="00E43EDA">
        <w:rPr>
          <w:rFonts w:ascii="Tahoma" w:hAnsi="Tahoma" w:cs="Tahoma"/>
          <w:sz w:val="24"/>
          <w:szCs w:val="24"/>
          <w:lang w:val="en-US"/>
        </w:rPr>
        <w:t xml:space="preserve"> month) and holiday-month (14</w:t>
      </w:r>
      <w:r w:rsidRPr="00E43EDA">
        <w:rPr>
          <w:rFonts w:ascii="Tahoma" w:hAnsi="Tahoma" w:cs="Tahoma"/>
          <w:sz w:val="24"/>
          <w:szCs w:val="24"/>
          <w:vertAlign w:val="superscript"/>
          <w:lang w:val="en-US"/>
        </w:rPr>
        <w:t>th</w:t>
      </w:r>
      <w:r w:rsidRPr="00E43EDA">
        <w:rPr>
          <w:rFonts w:ascii="Tahoma" w:hAnsi="Tahoma" w:cs="Tahoma"/>
          <w:sz w:val="24"/>
          <w:szCs w:val="24"/>
          <w:lang w:val="en-US"/>
        </w:rPr>
        <w:t xml:space="preserve"> month) for certain officials and retired officials was unconstitutional </w:t>
      </w:r>
      <w:r w:rsidR="00070086" w:rsidRPr="00E43EDA">
        <w:rPr>
          <w:rFonts w:ascii="Tahoma" w:hAnsi="Tahoma" w:cs="Tahoma"/>
          <w:sz w:val="24"/>
          <w:szCs w:val="24"/>
          <w:lang w:val="en-US"/>
        </w:rPr>
        <w:t xml:space="preserve">given the fact that some (lower) pensions and wages did not have to reduce their income while others (above 1500 relatively 1100 </w:t>
      </w:r>
      <w:r w:rsidR="00511C8B" w:rsidRPr="00E43EDA">
        <w:rPr>
          <w:rFonts w:ascii="Tahoma" w:hAnsi="Tahoma" w:cs="Tahoma"/>
          <w:sz w:val="24"/>
          <w:szCs w:val="24"/>
          <w:lang w:val="en-US"/>
        </w:rPr>
        <w:t>euro</w:t>
      </w:r>
      <w:r w:rsidR="00070086" w:rsidRPr="00E43EDA">
        <w:rPr>
          <w:rFonts w:ascii="Tahoma" w:hAnsi="Tahoma" w:cs="Tahoma"/>
          <w:sz w:val="24"/>
          <w:szCs w:val="24"/>
          <w:lang w:val="en-US"/>
        </w:rPr>
        <w:t xml:space="preserve">) had to. The Constitutional Court considered this decision a violation of the principle of equality and indicated </w:t>
      </w:r>
      <w:r w:rsidR="00070086" w:rsidRPr="00E43EDA">
        <w:rPr>
          <w:rFonts w:ascii="Tahoma" w:hAnsi="Tahoma" w:cs="Tahoma"/>
          <w:sz w:val="24"/>
          <w:szCs w:val="24"/>
          <w:lang w:val="en-US"/>
        </w:rPr>
        <w:lastRenderedPageBreak/>
        <w:t>that the specific circumstances (the crisis) were not sufficient to allow such a difference.</w:t>
      </w:r>
      <w:r w:rsidR="00070086" w:rsidRPr="00E43EDA">
        <w:rPr>
          <w:rStyle w:val="FootnoteReference"/>
          <w:rFonts w:ascii="Tahoma" w:hAnsi="Tahoma" w:cs="Tahoma"/>
          <w:sz w:val="24"/>
          <w:szCs w:val="24"/>
          <w:lang w:val="en-US"/>
        </w:rPr>
        <w:footnoteReference w:id="16"/>
      </w:r>
    </w:p>
    <w:p w:rsidR="00E44906" w:rsidRPr="00E43EDA" w:rsidRDefault="00FE3862" w:rsidP="002F6413">
      <w:pPr>
        <w:jc w:val="both"/>
        <w:rPr>
          <w:rFonts w:ascii="Tahoma" w:hAnsi="Tahoma" w:cs="Tahoma"/>
          <w:sz w:val="24"/>
          <w:szCs w:val="24"/>
          <w:lang w:val="en-US"/>
        </w:rPr>
      </w:pPr>
      <w:proofErr w:type="gramStart"/>
      <w:r w:rsidRPr="00E43EDA">
        <w:rPr>
          <w:rFonts w:ascii="Tahoma" w:hAnsi="Tahoma" w:cs="Tahoma"/>
          <w:sz w:val="24"/>
          <w:szCs w:val="24"/>
          <w:lang w:val="en-US"/>
        </w:rPr>
        <w:t xml:space="preserve">A major reform of the </w:t>
      </w:r>
      <w:r w:rsidR="00980881" w:rsidRPr="00E43EDA">
        <w:rPr>
          <w:rFonts w:ascii="Tahoma" w:hAnsi="Tahoma" w:cs="Tahoma"/>
          <w:sz w:val="24"/>
          <w:szCs w:val="24"/>
          <w:lang w:val="en-US"/>
        </w:rPr>
        <w:t xml:space="preserve">public sector was submitted to preventive </w:t>
      </w:r>
      <w:r w:rsidR="003825B6" w:rsidRPr="00E43EDA">
        <w:rPr>
          <w:rFonts w:ascii="Tahoma" w:hAnsi="Tahoma" w:cs="Tahoma"/>
          <w:sz w:val="24"/>
          <w:szCs w:val="24"/>
          <w:lang w:val="en-US"/>
        </w:rPr>
        <w:t>control by the Portuguese Constitutional Court</w:t>
      </w:r>
      <w:proofErr w:type="gramEnd"/>
      <w:r w:rsidR="003825B6" w:rsidRPr="00E43EDA">
        <w:rPr>
          <w:rFonts w:ascii="Tahoma" w:hAnsi="Tahoma" w:cs="Tahoma"/>
          <w:sz w:val="24"/>
          <w:szCs w:val="24"/>
          <w:lang w:val="en-US"/>
        </w:rPr>
        <w:t xml:space="preserve">. In decision 474/2013 </w:t>
      </w:r>
      <w:r w:rsidR="003F7899" w:rsidRPr="00E43EDA">
        <w:rPr>
          <w:rFonts w:ascii="Tahoma" w:hAnsi="Tahoma" w:cs="Tahoma"/>
          <w:sz w:val="24"/>
          <w:szCs w:val="24"/>
          <w:lang w:val="en-US"/>
        </w:rPr>
        <w:t xml:space="preserve">of 29 August 2013, the Constitutional Court rendered a </w:t>
      </w:r>
      <w:proofErr w:type="gramStart"/>
      <w:r w:rsidR="00511C8B" w:rsidRPr="00E43EDA">
        <w:rPr>
          <w:rFonts w:ascii="Tahoma" w:hAnsi="Tahoma" w:cs="Tahoma"/>
          <w:sz w:val="24"/>
          <w:szCs w:val="24"/>
          <w:lang w:val="en-US"/>
        </w:rPr>
        <w:t>judgment</w:t>
      </w:r>
      <w:r w:rsidR="003F7899" w:rsidRPr="00E43EDA">
        <w:rPr>
          <w:rFonts w:ascii="Tahoma" w:hAnsi="Tahoma" w:cs="Tahoma"/>
          <w:sz w:val="24"/>
          <w:szCs w:val="24"/>
          <w:lang w:val="en-US"/>
        </w:rPr>
        <w:t xml:space="preserve"> which</w:t>
      </w:r>
      <w:proofErr w:type="gramEnd"/>
      <w:r w:rsidR="003F7899" w:rsidRPr="00E43EDA">
        <w:rPr>
          <w:rFonts w:ascii="Tahoma" w:hAnsi="Tahoma" w:cs="Tahoma"/>
          <w:sz w:val="24"/>
          <w:szCs w:val="24"/>
          <w:lang w:val="en-US"/>
        </w:rPr>
        <w:t xml:space="preserve"> introduced the possibility to terminate the employment relationship with an </w:t>
      </w:r>
      <w:r w:rsidR="00511C8B" w:rsidRPr="00E43EDA">
        <w:rPr>
          <w:rFonts w:ascii="Tahoma" w:hAnsi="Tahoma" w:cs="Tahoma"/>
          <w:sz w:val="24"/>
          <w:szCs w:val="24"/>
          <w:lang w:val="en-US"/>
        </w:rPr>
        <w:t>official</w:t>
      </w:r>
      <w:r w:rsidR="003F7899" w:rsidRPr="00E43EDA">
        <w:rPr>
          <w:rFonts w:ascii="Tahoma" w:hAnsi="Tahoma" w:cs="Tahoma"/>
          <w:sz w:val="24"/>
          <w:szCs w:val="24"/>
          <w:lang w:val="en-US"/>
        </w:rPr>
        <w:t xml:space="preserve"> (even those not having a status but employed with employment contracts)</w:t>
      </w:r>
      <w:r w:rsidR="003F7899" w:rsidRPr="00E43EDA">
        <w:rPr>
          <w:rStyle w:val="FootnoteReference"/>
          <w:rFonts w:ascii="Tahoma" w:hAnsi="Tahoma" w:cs="Tahoma"/>
          <w:sz w:val="24"/>
          <w:szCs w:val="24"/>
          <w:lang w:val="en-US"/>
        </w:rPr>
        <w:footnoteReference w:id="17"/>
      </w:r>
      <w:r w:rsidR="003F7899" w:rsidRPr="00E43EDA">
        <w:rPr>
          <w:rFonts w:ascii="Tahoma" w:hAnsi="Tahoma" w:cs="Tahoma"/>
          <w:sz w:val="24"/>
          <w:szCs w:val="24"/>
          <w:lang w:val="en-US"/>
        </w:rPr>
        <w:t xml:space="preserve"> more easily than before. The termination could be introduced due to the fact that special sorts </w:t>
      </w:r>
      <w:r w:rsidR="00B25B5B" w:rsidRPr="00E43EDA">
        <w:rPr>
          <w:rFonts w:ascii="Tahoma" w:hAnsi="Tahoma" w:cs="Tahoma"/>
          <w:sz w:val="24"/>
          <w:szCs w:val="24"/>
          <w:lang w:val="en-US"/>
        </w:rPr>
        <w:t>of mobility could lead to the t</w:t>
      </w:r>
      <w:r w:rsidR="003F7899" w:rsidRPr="00E43EDA">
        <w:rPr>
          <w:rFonts w:ascii="Tahoma" w:hAnsi="Tahoma" w:cs="Tahoma"/>
          <w:sz w:val="24"/>
          <w:szCs w:val="24"/>
          <w:lang w:val="en-US"/>
        </w:rPr>
        <w:t>ermination of th</w:t>
      </w:r>
      <w:r w:rsidR="00E44906" w:rsidRPr="00E43EDA">
        <w:rPr>
          <w:rFonts w:ascii="Tahoma" w:hAnsi="Tahoma" w:cs="Tahoma"/>
          <w:sz w:val="24"/>
          <w:szCs w:val="24"/>
          <w:lang w:val="en-US"/>
        </w:rPr>
        <w:t>e employment relationship not</w:t>
      </w:r>
      <w:r w:rsidR="003F7899" w:rsidRPr="00E43EDA">
        <w:rPr>
          <w:rFonts w:ascii="Tahoma" w:hAnsi="Tahoma" w:cs="Tahoma"/>
          <w:sz w:val="24"/>
          <w:szCs w:val="24"/>
          <w:lang w:val="en-US"/>
        </w:rPr>
        <w:t>withstanding the functio</w:t>
      </w:r>
      <w:r w:rsidR="00E44906" w:rsidRPr="00E43EDA">
        <w:rPr>
          <w:rFonts w:ascii="Tahoma" w:hAnsi="Tahoma" w:cs="Tahoma"/>
          <w:sz w:val="24"/>
          <w:szCs w:val="24"/>
          <w:lang w:val="en-US"/>
        </w:rPr>
        <w:t>ning and the evaluations of those officials. The Cons</w:t>
      </w:r>
      <w:r w:rsidR="0012352B" w:rsidRPr="00E43EDA">
        <w:rPr>
          <w:rFonts w:ascii="Tahoma" w:hAnsi="Tahoma" w:cs="Tahoma"/>
          <w:sz w:val="24"/>
          <w:szCs w:val="24"/>
          <w:lang w:val="en-US"/>
        </w:rPr>
        <w:t>t</w:t>
      </w:r>
      <w:r w:rsidR="00E44906" w:rsidRPr="00E43EDA">
        <w:rPr>
          <w:rFonts w:ascii="Tahoma" w:hAnsi="Tahoma" w:cs="Tahoma"/>
          <w:sz w:val="24"/>
          <w:szCs w:val="24"/>
          <w:lang w:val="en-US"/>
        </w:rPr>
        <w:t>itutional Court considere</w:t>
      </w:r>
      <w:r w:rsidR="009879A8">
        <w:rPr>
          <w:rFonts w:ascii="Tahoma" w:hAnsi="Tahoma" w:cs="Tahoma"/>
          <w:sz w:val="24"/>
          <w:szCs w:val="24"/>
          <w:lang w:val="en-US"/>
        </w:rPr>
        <w:t>d these modifications to be a violation</w:t>
      </w:r>
      <w:r w:rsidR="00E44906" w:rsidRPr="00E43EDA">
        <w:rPr>
          <w:rFonts w:ascii="Tahoma" w:hAnsi="Tahoma" w:cs="Tahoma"/>
          <w:sz w:val="24"/>
          <w:szCs w:val="24"/>
          <w:lang w:val="en-US"/>
        </w:rPr>
        <w:t xml:space="preserve"> of article 18, second </w:t>
      </w:r>
      <w:proofErr w:type="gramStart"/>
      <w:r w:rsidR="00E44906" w:rsidRPr="00E43EDA">
        <w:rPr>
          <w:rFonts w:ascii="Tahoma" w:hAnsi="Tahoma" w:cs="Tahoma"/>
          <w:sz w:val="24"/>
          <w:szCs w:val="24"/>
          <w:lang w:val="en-US"/>
        </w:rPr>
        <w:t>paragraph which</w:t>
      </w:r>
      <w:r w:rsidR="00B25B5B" w:rsidRPr="00E43EDA">
        <w:rPr>
          <w:rFonts w:ascii="Tahoma" w:hAnsi="Tahoma" w:cs="Tahoma"/>
          <w:sz w:val="24"/>
          <w:szCs w:val="24"/>
          <w:lang w:val="en-US"/>
        </w:rPr>
        <w:t xml:space="preserve"> provides the principle of legitimate expectations</w:t>
      </w:r>
      <w:r w:rsidR="00E44906" w:rsidRPr="00E43EDA">
        <w:rPr>
          <w:rFonts w:ascii="Tahoma" w:hAnsi="Tahoma" w:cs="Tahoma"/>
          <w:sz w:val="24"/>
          <w:szCs w:val="24"/>
          <w:lang w:val="en-US"/>
        </w:rPr>
        <w:t>, as</w:t>
      </w:r>
      <w:proofErr w:type="gramEnd"/>
      <w:r w:rsidR="00E44906" w:rsidRPr="00E43EDA">
        <w:rPr>
          <w:rFonts w:ascii="Tahoma" w:hAnsi="Tahoma" w:cs="Tahoma"/>
          <w:sz w:val="24"/>
          <w:szCs w:val="24"/>
          <w:lang w:val="en-US"/>
        </w:rPr>
        <w:t xml:space="preserve"> mentioned (</w:t>
      </w:r>
      <w:r w:rsidR="00511C8B" w:rsidRPr="00E43EDA">
        <w:rPr>
          <w:rFonts w:ascii="Tahoma" w:hAnsi="Tahoma" w:cs="Tahoma"/>
          <w:sz w:val="24"/>
          <w:szCs w:val="24"/>
          <w:lang w:val="en-US"/>
        </w:rPr>
        <w:t>concerning</w:t>
      </w:r>
      <w:r w:rsidR="00E44906" w:rsidRPr="00E43EDA">
        <w:rPr>
          <w:rFonts w:ascii="Tahoma" w:hAnsi="Tahoma" w:cs="Tahoma"/>
          <w:sz w:val="24"/>
          <w:szCs w:val="24"/>
          <w:lang w:val="en-US"/>
        </w:rPr>
        <w:t xml:space="preserve"> the limitations of freedoms and rights) in article 18, second paragraph of the Constitution and of article 53 which provides that job security should be guaranteed for workers. </w:t>
      </w:r>
    </w:p>
    <w:p w:rsidR="00E44906" w:rsidRPr="00E43EDA" w:rsidRDefault="0012352B" w:rsidP="002F6413">
      <w:pPr>
        <w:jc w:val="both"/>
        <w:rPr>
          <w:rFonts w:ascii="Tahoma" w:hAnsi="Tahoma" w:cs="Tahoma"/>
          <w:sz w:val="24"/>
          <w:szCs w:val="24"/>
          <w:lang w:val="en-US"/>
        </w:rPr>
      </w:pPr>
      <w:r w:rsidRPr="00E43EDA">
        <w:rPr>
          <w:rFonts w:ascii="Tahoma" w:hAnsi="Tahoma" w:cs="Tahoma"/>
          <w:sz w:val="24"/>
          <w:szCs w:val="24"/>
          <w:lang w:val="en-US"/>
        </w:rPr>
        <w:t xml:space="preserve">This second </w:t>
      </w:r>
      <w:r w:rsidR="00E44906" w:rsidRPr="00E43EDA">
        <w:rPr>
          <w:rFonts w:ascii="Tahoma" w:hAnsi="Tahoma" w:cs="Tahoma"/>
          <w:sz w:val="24"/>
          <w:szCs w:val="24"/>
          <w:lang w:val="en-US"/>
        </w:rPr>
        <w:t xml:space="preserve">decision had important consequences as a part </w:t>
      </w:r>
      <w:r w:rsidR="00511C8B" w:rsidRPr="00E43EDA">
        <w:rPr>
          <w:rFonts w:ascii="Tahoma" w:hAnsi="Tahoma" w:cs="Tahoma"/>
          <w:sz w:val="24"/>
          <w:szCs w:val="24"/>
          <w:lang w:val="en-US"/>
        </w:rPr>
        <w:t>of</w:t>
      </w:r>
      <w:r w:rsidR="00E44906" w:rsidRPr="00E43EDA">
        <w:rPr>
          <w:rFonts w:ascii="Tahoma" w:hAnsi="Tahoma" w:cs="Tahoma"/>
          <w:sz w:val="24"/>
          <w:szCs w:val="24"/>
          <w:lang w:val="en-US"/>
        </w:rPr>
        <w:t xml:space="preserve"> </w:t>
      </w:r>
      <w:r w:rsidR="00B25B5B" w:rsidRPr="00E43EDA">
        <w:rPr>
          <w:rFonts w:ascii="Tahoma" w:hAnsi="Tahoma" w:cs="Tahoma"/>
          <w:sz w:val="24"/>
          <w:szCs w:val="24"/>
          <w:lang w:val="en-US"/>
        </w:rPr>
        <w:t xml:space="preserve">the reform of the public </w:t>
      </w:r>
      <w:proofErr w:type="gramStart"/>
      <w:r w:rsidR="00B25B5B" w:rsidRPr="00E43EDA">
        <w:rPr>
          <w:rFonts w:ascii="Tahoma" w:hAnsi="Tahoma" w:cs="Tahoma"/>
          <w:sz w:val="24"/>
          <w:szCs w:val="24"/>
          <w:lang w:val="en-US"/>
        </w:rPr>
        <w:t xml:space="preserve">sector </w:t>
      </w:r>
      <w:r w:rsidR="00E44906" w:rsidRPr="00E43EDA">
        <w:rPr>
          <w:rFonts w:ascii="Tahoma" w:hAnsi="Tahoma" w:cs="Tahoma"/>
          <w:sz w:val="24"/>
          <w:szCs w:val="24"/>
          <w:lang w:val="en-US"/>
        </w:rPr>
        <w:t>which was considered to be crucial for the financial recovery of Portugal</w:t>
      </w:r>
      <w:proofErr w:type="gramEnd"/>
      <w:r w:rsidR="00E44906" w:rsidRPr="00E43EDA">
        <w:rPr>
          <w:rFonts w:ascii="Tahoma" w:hAnsi="Tahoma" w:cs="Tahoma"/>
          <w:sz w:val="24"/>
          <w:szCs w:val="24"/>
          <w:lang w:val="en-US"/>
        </w:rPr>
        <w:t xml:space="preserve"> did, apparently, not fit with the constitutional and legal framework of Portugal.</w:t>
      </w:r>
    </w:p>
    <w:p w:rsidR="00DE2046" w:rsidRPr="00E43EDA" w:rsidRDefault="00E44906" w:rsidP="002F6413">
      <w:pPr>
        <w:jc w:val="both"/>
        <w:rPr>
          <w:rFonts w:ascii="Tahoma" w:hAnsi="Tahoma" w:cs="Tahoma"/>
          <w:sz w:val="24"/>
          <w:szCs w:val="24"/>
          <w:lang w:val="en-US"/>
        </w:rPr>
      </w:pPr>
      <w:r w:rsidRPr="00E43EDA">
        <w:rPr>
          <w:rFonts w:ascii="Tahoma" w:hAnsi="Tahoma" w:cs="Tahoma"/>
          <w:sz w:val="24"/>
          <w:szCs w:val="24"/>
          <w:lang w:val="en-US"/>
        </w:rPr>
        <w:t>Similarly,</w:t>
      </w:r>
      <w:r w:rsidR="008200AD" w:rsidRPr="00E43EDA">
        <w:rPr>
          <w:rFonts w:ascii="Tahoma" w:hAnsi="Tahoma" w:cs="Tahoma"/>
          <w:sz w:val="24"/>
          <w:szCs w:val="24"/>
          <w:lang w:val="en-US"/>
        </w:rPr>
        <w:t xml:space="preserve"> the Cons</w:t>
      </w:r>
      <w:r w:rsidR="001207A4" w:rsidRPr="00E43EDA">
        <w:rPr>
          <w:rFonts w:ascii="Tahoma" w:hAnsi="Tahoma" w:cs="Tahoma"/>
          <w:sz w:val="24"/>
          <w:szCs w:val="24"/>
          <w:lang w:val="en-US"/>
        </w:rPr>
        <w:t>t</w:t>
      </w:r>
      <w:r w:rsidR="008200AD" w:rsidRPr="00E43EDA">
        <w:rPr>
          <w:rFonts w:ascii="Tahoma" w:hAnsi="Tahoma" w:cs="Tahoma"/>
          <w:sz w:val="24"/>
          <w:szCs w:val="24"/>
          <w:lang w:val="en-US"/>
        </w:rPr>
        <w:t xml:space="preserve">itutional Court denied </w:t>
      </w:r>
      <w:r w:rsidR="009879A8">
        <w:rPr>
          <w:rFonts w:ascii="Tahoma" w:hAnsi="Tahoma" w:cs="Tahoma"/>
          <w:sz w:val="24"/>
          <w:szCs w:val="24"/>
          <w:lang w:val="en-US"/>
        </w:rPr>
        <w:t xml:space="preserve">in its decision 862/2013 on 19 December 2013 </w:t>
      </w:r>
      <w:proofErr w:type="gramStart"/>
      <w:r w:rsidR="008200AD" w:rsidRPr="00E43EDA">
        <w:rPr>
          <w:rFonts w:ascii="Tahoma" w:hAnsi="Tahoma" w:cs="Tahoma"/>
          <w:sz w:val="24"/>
          <w:szCs w:val="24"/>
          <w:lang w:val="en-US"/>
        </w:rPr>
        <w:t>to grant</w:t>
      </w:r>
      <w:proofErr w:type="gramEnd"/>
      <w:r w:rsidR="008200AD" w:rsidRPr="00E43EDA">
        <w:rPr>
          <w:rFonts w:ascii="Tahoma" w:hAnsi="Tahoma" w:cs="Tahoma"/>
          <w:sz w:val="24"/>
          <w:szCs w:val="24"/>
          <w:lang w:val="en-US"/>
        </w:rPr>
        <w:t xml:space="preserve"> </w:t>
      </w:r>
      <w:r w:rsidR="00511C8B" w:rsidRPr="00E43EDA">
        <w:rPr>
          <w:rFonts w:ascii="Tahoma" w:hAnsi="Tahoma" w:cs="Tahoma"/>
          <w:sz w:val="24"/>
          <w:szCs w:val="24"/>
          <w:lang w:val="en-US"/>
        </w:rPr>
        <w:t>constitutional</w:t>
      </w:r>
      <w:r w:rsidR="008200AD" w:rsidRPr="00E43EDA">
        <w:rPr>
          <w:rFonts w:ascii="Tahoma" w:hAnsi="Tahoma" w:cs="Tahoma"/>
          <w:sz w:val="24"/>
          <w:szCs w:val="24"/>
          <w:lang w:val="en-US"/>
        </w:rPr>
        <w:t xml:space="preserve"> permission </w:t>
      </w:r>
      <w:r w:rsidR="00196B49" w:rsidRPr="00E43EDA">
        <w:rPr>
          <w:rFonts w:ascii="Tahoma" w:hAnsi="Tahoma" w:cs="Tahoma"/>
          <w:sz w:val="24"/>
          <w:szCs w:val="24"/>
          <w:lang w:val="en-US"/>
        </w:rPr>
        <w:t xml:space="preserve">for an Act which </w:t>
      </w:r>
      <w:r w:rsidR="007F137A" w:rsidRPr="00E43EDA">
        <w:rPr>
          <w:rFonts w:ascii="Tahoma" w:hAnsi="Tahoma" w:cs="Tahoma"/>
          <w:sz w:val="24"/>
          <w:szCs w:val="24"/>
          <w:lang w:val="en-US"/>
        </w:rPr>
        <w:t>cut the pensions of officials with 10% due to the crisis. The Court st</w:t>
      </w:r>
      <w:r w:rsidR="000A29B8" w:rsidRPr="00E43EDA">
        <w:rPr>
          <w:rFonts w:ascii="Tahoma" w:hAnsi="Tahoma" w:cs="Tahoma"/>
          <w:sz w:val="24"/>
          <w:szCs w:val="24"/>
          <w:lang w:val="en-US"/>
        </w:rPr>
        <w:t>a</w:t>
      </w:r>
      <w:r w:rsidR="007F137A" w:rsidRPr="00E43EDA">
        <w:rPr>
          <w:rFonts w:ascii="Tahoma" w:hAnsi="Tahoma" w:cs="Tahoma"/>
          <w:sz w:val="24"/>
          <w:szCs w:val="24"/>
          <w:lang w:val="en-US"/>
        </w:rPr>
        <w:t>ted that the c</w:t>
      </w:r>
      <w:r w:rsidR="00B25B5B" w:rsidRPr="00E43EDA">
        <w:rPr>
          <w:rFonts w:ascii="Tahoma" w:hAnsi="Tahoma" w:cs="Tahoma"/>
          <w:sz w:val="24"/>
          <w:szCs w:val="24"/>
          <w:lang w:val="en-US"/>
        </w:rPr>
        <w:t xml:space="preserve">onstitutional principle of </w:t>
      </w:r>
      <w:r w:rsidR="00511C8B" w:rsidRPr="00E43EDA">
        <w:rPr>
          <w:rFonts w:ascii="Tahoma" w:hAnsi="Tahoma" w:cs="Tahoma"/>
          <w:sz w:val="24"/>
          <w:szCs w:val="24"/>
          <w:lang w:val="en-US"/>
        </w:rPr>
        <w:t>legitimate</w:t>
      </w:r>
      <w:r w:rsidR="00B25B5B" w:rsidRPr="00E43EDA">
        <w:rPr>
          <w:rFonts w:ascii="Tahoma" w:hAnsi="Tahoma" w:cs="Tahoma"/>
          <w:sz w:val="24"/>
          <w:szCs w:val="24"/>
          <w:lang w:val="en-US"/>
        </w:rPr>
        <w:t xml:space="preserve"> expectations</w:t>
      </w:r>
      <w:r w:rsidR="007F137A" w:rsidRPr="00E43EDA">
        <w:rPr>
          <w:rFonts w:ascii="Tahoma" w:hAnsi="Tahoma" w:cs="Tahoma"/>
          <w:sz w:val="24"/>
          <w:szCs w:val="24"/>
          <w:lang w:val="en-US"/>
        </w:rPr>
        <w:t xml:space="preserve"> was </w:t>
      </w:r>
      <w:r w:rsidR="00B25B5B" w:rsidRPr="00E43EDA">
        <w:rPr>
          <w:rFonts w:ascii="Tahoma" w:hAnsi="Tahoma" w:cs="Tahoma"/>
          <w:sz w:val="24"/>
          <w:szCs w:val="24"/>
          <w:lang w:val="en-US"/>
        </w:rPr>
        <w:t xml:space="preserve">again </w:t>
      </w:r>
      <w:r w:rsidR="007F137A" w:rsidRPr="00E43EDA">
        <w:rPr>
          <w:rFonts w:ascii="Tahoma" w:hAnsi="Tahoma" w:cs="Tahoma"/>
          <w:sz w:val="24"/>
          <w:szCs w:val="24"/>
          <w:lang w:val="en-US"/>
        </w:rPr>
        <w:t xml:space="preserve">violated. The officials were entitled to trust that they would be protected against </w:t>
      </w:r>
      <w:r w:rsidR="00B25B5B" w:rsidRPr="00E43EDA">
        <w:rPr>
          <w:rFonts w:ascii="Tahoma" w:hAnsi="Tahoma" w:cs="Tahoma"/>
          <w:sz w:val="24"/>
          <w:szCs w:val="24"/>
          <w:lang w:val="en-US"/>
        </w:rPr>
        <w:t xml:space="preserve">age and/or invalidity and that the </w:t>
      </w:r>
      <w:proofErr w:type="gramStart"/>
      <w:r w:rsidR="00B25B5B" w:rsidRPr="00E43EDA">
        <w:rPr>
          <w:rFonts w:ascii="Tahoma" w:hAnsi="Tahoma" w:cs="Tahoma"/>
          <w:sz w:val="24"/>
          <w:szCs w:val="24"/>
          <w:lang w:val="en-US"/>
        </w:rPr>
        <w:t xml:space="preserve">specific </w:t>
      </w:r>
      <w:r w:rsidR="00DE2046" w:rsidRPr="00E43EDA">
        <w:rPr>
          <w:rFonts w:ascii="Tahoma" w:hAnsi="Tahoma" w:cs="Tahoma"/>
          <w:sz w:val="24"/>
          <w:szCs w:val="24"/>
          <w:lang w:val="en-US"/>
        </w:rPr>
        <w:t xml:space="preserve"> The</w:t>
      </w:r>
      <w:proofErr w:type="gramEnd"/>
      <w:r w:rsidR="00DE2046" w:rsidRPr="00E43EDA">
        <w:rPr>
          <w:rFonts w:ascii="Tahoma" w:hAnsi="Tahoma" w:cs="Tahoma"/>
          <w:sz w:val="24"/>
          <w:szCs w:val="24"/>
          <w:lang w:val="en-US"/>
        </w:rPr>
        <w:t xml:space="preserve"> Constitutional Court considered the cuts to be in breach of article 2 of the Portuguese </w:t>
      </w:r>
      <w:r w:rsidR="00511C8B" w:rsidRPr="00E43EDA">
        <w:rPr>
          <w:rFonts w:ascii="Tahoma" w:hAnsi="Tahoma" w:cs="Tahoma"/>
          <w:sz w:val="24"/>
          <w:szCs w:val="24"/>
          <w:lang w:val="en-US"/>
        </w:rPr>
        <w:t>Constitution</w:t>
      </w:r>
      <w:r w:rsidR="00DE2046" w:rsidRPr="00E43EDA">
        <w:rPr>
          <w:rFonts w:ascii="Tahoma" w:hAnsi="Tahoma" w:cs="Tahoma"/>
          <w:sz w:val="24"/>
          <w:szCs w:val="24"/>
          <w:lang w:val="en-US"/>
        </w:rPr>
        <w:t xml:space="preserve"> which provides the principle of the Rule of Law under Portuguese legislation.</w:t>
      </w:r>
      <w:r w:rsidR="00DE2046" w:rsidRPr="00E43EDA">
        <w:rPr>
          <w:rStyle w:val="FootnoteReference"/>
          <w:rFonts w:ascii="Tahoma" w:hAnsi="Tahoma" w:cs="Tahoma"/>
          <w:sz w:val="24"/>
          <w:szCs w:val="24"/>
          <w:lang w:val="en-US"/>
        </w:rPr>
        <w:footnoteReference w:id="18"/>
      </w:r>
    </w:p>
    <w:p w:rsidR="00CA6C6D" w:rsidRPr="00E43EDA" w:rsidRDefault="00DE2046" w:rsidP="00CA6C6D">
      <w:pPr>
        <w:autoSpaceDE w:val="0"/>
        <w:autoSpaceDN w:val="0"/>
        <w:adjustRightInd w:val="0"/>
        <w:spacing w:after="0" w:line="240" w:lineRule="auto"/>
        <w:jc w:val="both"/>
        <w:rPr>
          <w:rFonts w:ascii="Tahoma" w:hAnsi="Tahoma" w:cs="Tahoma"/>
          <w:sz w:val="24"/>
          <w:szCs w:val="24"/>
          <w:lang w:val="en-US"/>
        </w:rPr>
      </w:pPr>
      <w:r w:rsidRPr="00E43EDA">
        <w:rPr>
          <w:rFonts w:ascii="Tahoma" w:hAnsi="Tahoma" w:cs="Tahoma"/>
          <w:sz w:val="24"/>
          <w:szCs w:val="24"/>
          <w:lang w:val="en-US"/>
        </w:rPr>
        <w:t xml:space="preserve">The reaction in the annual Reports on the financial situation of </w:t>
      </w:r>
      <w:r w:rsidR="00CA6C6D" w:rsidRPr="00E43EDA">
        <w:rPr>
          <w:rFonts w:ascii="Tahoma" w:hAnsi="Tahoma" w:cs="Tahoma"/>
          <w:sz w:val="24"/>
          <w:szCs w:val="24"/>
          <w:lang w:val="en-US"/>
        </w:rPr>
        <w:t>the European Commission does not seem to take into account the legal impact of these rulings of the Constitutional Court. The European Commission observes and stresses the important economic and financial need for reforms. It seems that similar measures can be undertaken (on wages cuts, reform of the employment conditions in the public sector and pension reforms) as before without really an</w:t>
      </w:r>
      <w:r w:rsidR="001A3C31" w:rsidRPr="00E43EDA">
        <w:rPr>
          <w:rFonts w:ascii="Tahoma" w:hAnsi="Tahoma" w:cs="Tahoma"/>
          <w:sz w:val="24"/>
          <w:szCs w:val="24"/>
          <w:lang w:val="en-US"/>
        </w:rPr>
        <w:t>a</w:t>
      </w:r>
      <w:r w:rsidR="00CA6C6D" w:rsidRPr="00E43EDA">
        <w:rPr>
          <w:rFonts w:ascii="Tahoma" w:hAnsi="Tahoma" w:cs="Tahoma"/>
          <w:sz w:val="24"/>
          <w:szCs w:val="24"/>
          <w:lang w:val="en-US"/>
        </w:rPr>
        <w:t>lysing profoundly the decisions of the Constitutional Court.</w:t>
      </w:r>
      <w:r w:rsidR="00CA6C6D" w:rsidRPr="00E43EDA">
        <w:rPr>
          <w:rStyle w:val="FootnoteReference"/>
          <w:rFonts w:ascii="Tahoma" w:hAnsi="Tahoma" w:cs="Tahoma"/>
          <w:sz w:val="24"/>
          <w:szCs w:val="24"/>
          <w:lang w:val="en-US"/>
        </w:rPr>
        <w:footnoteReference w:id="19"/>
      </w:r>
      <w:r w:rsidR="00CA6C6D" w:rsidRPr="00E43EDA">
        <w:rPr>
          <w:rFonts w:ascii="Tahoma" w:hAnsi="Tahoma" w:cs="Tahoma"/>
          <w:sz w:val="24"/>
          <w:szCs w:val="24"/>
          <w:lang w:val="en-US"/>
        </w:rPr>
        <w:t xml:space="preserve"> The report indicates that in 2014 “</w:t>
      </w:r>
      <w:r w:rsidR="00CA6C6D" w:rsidRPr="00E43EDA">
        <w:rPr>
          <w:rFonts w:ascii="Tahoma" w:hAnsi="Tahoma" w:cs="Tahoma"/>
          <w:i/>
          <w:sz w:val="24"/>
          <w:szCs w:val="24"/>
          <w:lang w:val="en-US"/>
        </w:rPr>
        <w:t xml:space="preserve">in addition, </w:t>
      </w:r>
      <w:r w:rsidR="00CA6C6D" w:rsidRPr="00E43EDA">
        <w:rPr>
          <w:rFonts w:ascii="Tahoma" w:hAnsi="Tahoma" w:cs="Tahoma"/>
          <w:i/>
          <w:sz w:val="24"/>
          <w:szCs w:val="24"/>
          <w:lang w:val="en-US"/>
        </w:rPr>
        <w:lastRenderedPageBreak/>
        <w:t>a medium to long-term measure on the pensions’ systems will be developed during 2014, in line with the Constitutional Court ruling. Stock tacking on this process will be made during the [eleventh review]</w:t>
      </w:r>
      <w:r w:rsidR="00CA6C6D" w:rsidRPr="00E43EDA">
        <w:rPr>
          <w:rFonts w:ascii="Tahoma" w:hAnsi="Tahoma" w:cs="Tahoma"/>
          <w:sz w:val="24"/>
          <w:szCs w:val="24"/>
          <w:lang w:val="en-US"/>
        </w:rPr>
        <w:t>.”</w:t>
      </w:r>
      <w:r w:rsidR="00781856" w:rsidRPr="00E43EDA">
        <w:rPr>
          <w:rStyle w:val="FootnoteReference"/>
          <w:rFonts w:ascii="Tahoma" w:hAnsi="Tahoma" w:cs="Tahoma"/>
          <w:sz w:val="24"/>
          <w:szCs w:val="24"/>
          <w:lang w:val="en-US"/>
        </w:rPr>
        <w:footnoteReference w:id="20"/>
      </w:r>
    </w:p>
    <w:p w:rsidR="00781856" w:rsidRPr="00E43EDA" w:rsidRDefault="00781856" w:rsidP="00CA6C6D">
      <w:pPr>
        <w:autoSpaceDE w:val="0"/>
        <w:autoSpaceDN w:val="0"/>
        <w:adjustRightInd w:val="0"/>
        <w:spacing w:after="0" w:line="240" w:lineRule="auto"/>
        <w:jc w:val="both"/>
        <w:rPr>
          <w:rFonts w:ascii="Tahoma" w:hAnsi="Tahoma" w:cs="Tahoma"/>
          <w:sz w:val="24"/>
          <w:szCs w:val="24"/>
          <w:lang w:val="en-US"/>
        </w:rPr>
      </w:pPr>
    </w:p>
    <w:p w:rsidR="00677712" w:rsidRPr="00E43EDA" w:rsidRDefault="00781856" w:rsidP="00CA6C6D">
      <w:pPr>
        <w:autoSpaceDE w:val="0"/>
        <w:autoSpaceDN w:val="0"/>
        <w:adjustRightInd w:val="0"/>
        <w:spacing w:after="0" w:line="240" w:lineRule="auto"/>
        <w:jc w:val="both"/>
        <w:rPr>
          <w:rFonts w:ascii="Tahoma" w:hAnsi="Tahoma" w:cs="Tahoma"/>
          <w:sz w:val="24"/>
          <w:szCs w:val="24"/>
          <w:lang w:val="en-US"/>
        </w:rPr>
      </w:pPr>
      <w:r w:rsidRPr="00E43EDA">
        <w:rPr>
          <w:rFonts w:ascii="Tahoma" w:hAnsi="Tahoma" w:cs="Tahoma"/>
          <w:sz w:val="24"/>
          <w:szCs w:val="24"/>
          <w:lang w:val="en-US"/>
        </w:rPr>
        <w:t xml:space="preserve">However, no strict </w:t>
      </w:r>
      <w:r w:rsidR="009879A8">
        <w:rPr>
          <w:rFonts w:ascii="Tahoma" w:hAnsi="Tahoma" w:cs="Tahoma"/>
          <w:sz w:val="24"/>
          <w:szCs w:val="24"/>
          <w:lang w:val="en-US"/>
        </w:rPr>
        <w:t xml:space="preserve">legal </w:t>
      </w:r>
      <w:r w:rsidRPr="00E43EDA">
        <w:rPr>
          <w:rFonts w:ascii="Tahoma" w:hAnsi="Tahoma" w:cs="Tahoma"/>
          <w:sz w:val="24"/>
          <w:szCs w:val="24"/>
          <w:lang w:val="en-US"/>
        </w:rPr>
        <w:t xml:space="preserve">analysis is made in order to identify how the constitutional and legal framework </w:t>
      </w:r>
      <w:r w:rsidR="00C13FEE" w:rsidRPr="00E43EDA">
        <w:rPr>
          <w:rFonts w:ascii="Tahoma" w:hAnsi="Tahoma" w:cs="Tahoma"/>
          <w:sz w:val="24"/>
          <w:szCs w:val="24"/>
          <w:lang w:val="en-US"/>
        </w:rPr>
        <w:t>needs to be respected</w:t>
      </w:r>
      <w:r w:rsidR="009879A8">
        <w:rPr>
          <w:rFonts w:ascii="Tahoma" w:hAnsi="Tahoma" w:cs="Tahoma"/>
          <w:sz w:val="24"/>
          <w:szCs w:val="24"/>
          <w:lang w:val="en-US"/>
        </w:rPr>
        <w:t xml:space="preserve"> in the future</w:t>
      </w:r>
      <w:r w:rsidR="00C13FEE" w:rsidRPr="00E43EDA">
        <w:rPr>
          <w:rFonts w:ascii="Tahoma" w:hAnsi="Tahoma" w:cs="Tahoma"/>
          <w:sz w:val="24"/>
          <w:szCs w:val="24"/>
          <w:lang w:val="en-US"/>
        </w:rPr>
        <w:t>. T</w:t>
      </w:r>
      <w:r w:rsidRPr="00E43EDA">
        <w:rPr>
          <w:rFonts w:ascii="Tahoma" w:hAnsi="Tahoma" w:cs="Tahoma"/>
          <w:sz w:val="24"/>
          <w:szCs w:val="24"/>
          <w:lang w:val="en-US"/>
        </w:rPr>
        <w:t xml:space="preserve">he European Commission keeps on stressing the importance of austerity measures in order to obtain the economic and financial </w:t>
      </w:r>
      <w:proofErr w:type="gramStart"/>
      <w:r w:rsidRPr="00E43EDA">
        <w:rPr>
          <w:rFonts w:ascii="Tahoma" w:hAnsi="Tahoma" w:cs="Tahoma"/>
          <w:sz w:val="24"/>
          <w:szCs w:val="24"/>
          <w:lang w:val="en-US"/>
        </w:rPr>
        <w:t>requirements which</w:t>
      </w:r>
      <w:proofErr w:type="gramEnd"/>
      <w:r w:rsidRPr="00E43EDA">
        <w:rPr>
          <w:rFonts w:ascii="Tahoma" w:hAnsi="Tahoma" w:cs="Tahoma"/>
          <w:sz w:val="24"/>
          <w:szCs w:val="24"/>
          <w:lang w:val="en-US"/>
        </w:rPr>
        <w:t xml:space="preserve"> are linked to the original economic adjustment program. It seems that the legal barriers may not be taken into consideration. </w:t>
      </w:r>
      <w:r w:rsidR="00C13FEE" w:rsidRPr="00E43EDA">
        <w:rPr>
          <w:rFonts w:ascii="Tahoma" w:hAnsi="Tahoma" w:cs="Tahoma"/>
          <w:sz w:val="24"/>
          <w:szCs w:val="24"/>
          <w:lang w:val="en-US"/>
        </w:rPr>
        <w:t>E</w:t>
      </w:r>
      <w:r w:rsidRPr="00E43EDA">
        <w:rPr>
          <w:rFonts w:ascii="Tahoma" w:hAnsi="Tahoma" w:cs="Tahoma"/>
          <w:sz w:val="24"/>
          <w:szCs w:val="24"/>
          <w:lang w:val="en-US"/>
        </w:rPr>
        <w:t xml:space="preserve">xecuting the requirements of the economic adjustment program need profound measures which rise, unavoidably many legal queries. </w:t>
      </w:r>
    </w:p>
    <w:p w:rsidR="00CA6C6D" w:rsidRPr="00E43EDA" w:rsidRDefault="00CA6C6D" w:rsidP="00CA6C6D">
      <w:pPr>
        <w:autoSpaceDE w:val="0"/>
        <w:autoSpaceDN w:val="0"/>
        <w:adjustRightInd w:val="0"/>
        <w:spacing w:after="0" w:line="240" w:lineRule="auto"/>
        <w:jc w:val="both"/>
        <w:rPr>
          <w:rFonts w:ascii="Tahoma" w:hAnsi="Tahoma" w:cs="Tahoma"/>
          <w:sz w:val="24"/>
          <w:szCs w:val="24"/>
          <w:lang w:val="en-US"/>
        </w:rPr>
      </w:pPr>
    </w:p>
    <w:p w:rsidR="009879A8" w:rsidRDefault="00B13B89" w:rsidP="002F6413">
      <w:pPr>
        <w:jc w:val="both"/>
        <w:rPr>
          <w:rFonts w:ascii="Tahoma" w:hAnsi="Tahoma" w:cs="Tahoma"/>
          <w:sz w:val="24"/>
          <w:szCs w:val="24"/>
          <w:lang w:val="en-US"/>
        </w:rPr>
      </w:pPr>
      <w:r w:rsidRPr="00E43EDA">
        <w:rPr>
          <w:rFonts w:ascii="Tahoma" w:hAnsi="Tahoma" w:cs="Tahoma"/>
          <w:sz w:val="24"/>
          <w:szCs w:val="24"/>
          <w:lang w:val="en-US"/>
        </w:rPr>
        <w:t xml:space="preserve">It seems </w:t>
      </w:r>
      <w:r w:rsidR="00420E34" w:rsidRPr="00E43EDA">
        <w:rPr>
          <w:rFonts w:ascii="Tahoma" w:hAnsi="Tahoma" w:cs="Tahoma"/>
          <w:sz w:val="24"/>
          <w:szCs w:val="24"/>
          <w:lang w:val="en-US"/>
        </w:rPr>
        <w:t xml:space="preserve">that the </w:t>
      </w:r>
      <w:r w:rsidR="009879A8">
        <w:rPr>
          <w:rFonts w:ascii="Tahoma" w:hAnsi="Tahoma" w:cs="Tahoma"/>
          <w:sz w:val="24"/>
          <w:szCs w:val="24"/>
          <w:lang w:val="en-US"/>
        </w:rPr>
        <w:t xml:space="preserve">European </w:t>
      </w:r>
      <w:r w:rsidR="00420E34" w:rsidRPr="00E43EDA">
        <w:rPr>
          <w:rFonts w:ascii="Tahoma" w:hAnsi="Tahoma" w:cs="Tahoma"/>
          <w:sz w:val="24"/>
          <w:szCs w:val="24"/>
          <w:lang w:val="en-US"/>
        </w:rPr>
        <w:t xml:space="preserve">Commission </w:t>
      </w:r>
      <w:r w:rsidR="009879A8">
        <w:rPr>
          <w:rFonts w:ascii="Tahoma" w:hAnsi="Tahoma" w:cs="Tahoma"/>
          <w:sz w:val="24"/>
          <w:szCs w:val="24"/>
          <w:lang w:val="en-US"/>
        </w:rPr>
        <w:t>(</w:t>
      </w:r>
      <w:r w:rsidR="00420E34" w:rsidRPr="00E43EDA">
        <w:rPr>
          <w:rFonts w:ascii="Tahoma" w:hAnsi="Tahoma" w:cs="Tahoma"/>
          <w:sz w:val="24"/>
          <w:szCs w:val="24"/>
          <w:lang w:val="en-US"/>
        </w:rPr>
        <w:t>and the IMF</w:t>
      </w:r>
      <w:r w:rsidR="009879A8">
        <w:rPr>
          <w:rFonts w:ascii="Tahoma" w:hAnsi="Tahoma" w:cs="Tahoma"/>
          <w:sz w:val="24"/>
          <w:szCs w:val="24"/>
          <w:lang w:val="en-US"/>
        </w:rPr>
        <w:t>)</w:t>
      </w:r>
      <w:r w:rsidR="00420E34" w:rsidRPr="00E43EDA">
        <w:rPr>
          <w:rFonts w:ascii="Tahoma" w:hAnsi="Tahoma" w:cs="Tahoma"/>
          <w:sz w:val="24"/>
          <w:szCs w:val="24"/>
          <w:lang w:val="en-US"/>
        </w:rPr>
        <w:t xml:space="preserve"> do not take into account the legal framework of the Member States in which they need to elaborate their reforms. It shows again tha</w:t>
      </w:r>
      <w:r w:rsidR="009879A8">
        <w:rPr>
          <w:rFonts w:ascii="Tahoma" w:hAnsi="Tahoma" w:cs="Tahoma"/>
          <w:sz w:val="24"/>
          <w:szCs w:val="24"/>
          <w:lang w:val="en-US"/>
        </w:rPr>
        <w:t xml:space="preserve">t it seems that two networks </w:t>
      </w:r>
      <w:r w:rsidR="00420E34" w:rsidRPr="00E43EDA">
        <w:rPr>
          <w:rFonts w:ascii="Tahoma" w:hAnsi="Tahoma" w:cs="Tahoma"/>
          <w:sz w:val="24"/>
          <w:szCs w:val="24"/>
          <w:lang w:val="en-US"/>
        </w:rPr>
        <w:t>(rather than two levels) of case law seem to exist. Principles as the princ</w:t>
      </w:r>
      <w:r w:rsidR="00747759" w:rsidRPr="00E43EDA">
        <w:rPr>
          <w:rFonts w:ascii="Tahoma" w:hAnsi="Tahoma" w:cs="Tahoma"/>
          <w:sz w:val="24"/>
          <w:szCs w:val="24"/>
          <w:lang w:val="en-US"/>
        </w:rPr>
        <w:t>iple of</w:t>
      </w:r>
      <w:r w:rsidR="00C13FEE" w:rsidRPr="00E43EDA">
        <w:rPr>
          <w:rFonts w:ascii="Tahoma" w:hAnsi="Tahoma" w:cs="Tahoma"/>
          <w:sz w:val="24"/>
          <w:szCs w:val="24"/>
          <w:lang w:val="en-US"/>
        </w:rPr>
        <w:t xml:space="preserve"> </w:t>
      </w:r>
      <w:r w:rsidR="00511C8B" w:rsidRPr="00E43EDA">
        <w:rPr>
          <w:rFonts w:ascii="Tahoma" w:hAnsi="Tahoma" w:cs="Tahoma"/>
          <w:sz w:val="24"/>
          <w:szCs w:val="24"/>
          <w:lang w:val="en-US"/>
        </w:rPr>
        <w:t>legitimate</w:t>
      </w:r>
      <w:r w:rsidR="001A3C31" w:rsidRPr="00E43EDA">
        <w:rPr>
          <w:rFonts w:ascii="Tahoma" w:hAnsi="Tahoma" w:cs="Tahoma"/>
          <w:sz w:val="24"/>
          <w:szCs w:val="24"/>
          <w:lang w:val="en-US"/>
        </w:rPr>
        <w:t xml:space="preserve"> expectations </w:t>
      </w:r>
      <w:r w:rsidR="00C13FEE" w:rsidRPr="00E43EDA">
        <w:rPr>
          <w:rFonts w:ascii="Tahoma" w:hAnsi="Tahoma" w:cs="Tahoma"/>
          <w:sz w:val="24"/>
          <w:szCs w:val="24"/>
          <w:lang w:val="en-US"/>
        </w:rPr>
        <w:t>and the Rule of Law play</w:t>
      </w:r>
      <w:r w:rsidR="00747759" w:rsidRPr="00E43EDA">
        <w:rPr>
          <w:rFonts w:ascii="Tahoma" w:hAnsi="Tahoma" w:cs="Tahoma"/>
          <w:sz w:val="24"/>
          <w:szCs w:val="24"/>
          <w:lang w:val="en-US"/>
        </w:rPr>
        <w:t xml:space="preserve"> an important role in the case law of the European Court of Justice.</w:t>
      </w:r>
      <w:r w:rsidR="00747759" w:rsidRPr="00E43EDA">
        <w:rPr>
          <w:rStyle w:val="FootnoteReference"/>
          <w:rFonts w:ascii="Tahoma" w:hAnsi="Tahoma" w:cs="Tahoma"/>
          <w:sz w:val="24"/>
          <w:szCs w:val="24"/>
          <w:lang w:val="en-US"/>
        </w:rPr>
        <w:footnoteReference w:id="21"/>
      </w:r>
      <w:r w:rsidR="00747759" w:rsidRPr="00E43EDA">
        <w:rPr>
          <w:rFonts w:ascii="Tahoma" w:hAnsi="Tahoma" w:cs="Tahoma"/>
          <w:sz w:val="24"/>
          <w:szCs w:val="24"/>
          <w:lang w:val="en-US"/>
        </w:rPr>
        <w:t xml:space="preserve"> </w:t>
      </w:r>
      <w:r w:rsidR="00B43F1E" w:rsidRPr="00E43EDA">
        <w:rPr>
          <w:rFonts w:ascii="Tahoma" w:hAnsi="Tahoma" w:cs="Tahoma"/>
          <w:sz w:val="24"/>
          <w:szCs w:val="24"/>
          <w:lang w:val="en-US"/>
        </w:rPr>
        <w:t xml:space="preserve">It seems that the EU does not realize the impact of its demands. </w:t>
      </w:r>
      <w:r w:rsidR="009879A8">
        <w:rPr>
          <w:rFonts w:ascii="Tahoma" w:hAnsi="Tahoma" w:cs="Tahoma"/>
          <w:sz w:val="24"/>
          <w:szCs w:val="24"/>
          <w:lang w:val="en-US"/>
        </w:rPr>
        <w:t xml:space="preserve">While the ECJ accepts that private persons </w:t>
      </w:r>
      <w:r w:rsidR="00385915">
        <w:rPr>
          <w:rFonts w:ascii="Tahoma" w:hAnsi="Tahoma" w:cs="Tahoma"/>
          <w:sz w:val="24"/>
          <w:szCs w:val="24"/>
          <w:lang w:val="en-US"/>
        </w:rPr>
        <w:t>invoke</w:t>
      </w:r>
      <w:r w:rsidR="009879A8">
        <w:rPr>
          <w:rFonts w:ascii="Tahoma" w:hAnsi="Tahoma" w:cs="Tahoma"/>
          <w:sz w:val="24"/>
          <w:szCs w:val="24"/>
          <w:lang w:val="en-US"/>
        </w:rPr>
        <w:t xml:space="preserve"> the principle of </w:t>
      </w:r>
      <w:r w:rsidR="00385915">
        <w:rPr>
          <w:rFonts w:ascii="Tahoma" w:hAnsi="Tahoma" w:cs="Tahoma"/>
          <w:sz w:val="24"/>
          <w:szCs w:val="24"/>
          <w:lang w:val="en-US"/>
        </w:rPr>
        <w:t>legitimate</w:t>
      </w:r>
      <w:r w:rsidR="009879A8">
        <w:rPr>
          <w:rFonts w:ascii="Tahoma" w:hAnsi="Tahoma" w:cs="Tahoma"/>
          <w:sz w:val="24"/>
          <w:szCs w:val="24"/>
          <w:lang w:val="en-US"/>
        </w:rPr>
        <w:t xml:space="preserve"> expectations with regard to acts of EU institutions, the European Commission does not pay any further attention to the role this principle may play in Portuguese law. </w:t>
      </w:r>
    </w:p>
    <w:p w:rsidR="00FB29F7" w:rsidRPr="00E43EDA" w:rsidRDefault="00B43F1E" w:rsidP="002F6413">
      <w:pPr>
        <w:jc w:val="both"/>
        <w:rPr>
          <w:rFonts w:ascii="Tahoma" w:hAnsi="Tahoma" w:cs="Tahoma"/>
          <w:sz w:val="24"/>
          <w:szCs w:val="24"/>
          <w:lang w:val="en-US"/>
        </w:rPr>
      </w:pPr>
      <w:r w:rsidRPr="00E43EDA">
        <w:rPr>
          <w:rFonts w:ascii="Tahoma" w:hAnsi="Tahoma" w:cs="Tahoma"/>
          <w:sz w:val="24"/>
          <w:szCs w:val="24"/>
          <w:lang w:val="en-US"/>
        </w:rPr>
        <w:t>Obviously, the case law of the ECJ dec</w:t>
      </w:r>
      <w:r w:rsidR="00C13FEE" w:rsidRPr="00E43EDA">
        <w:rPr>
          <w:rFonts w:ascii="Tahoma" w:hAnsi="Tahoma" w:cs="Tahoma"/>
          <w:sz w:val="24"/>
          <w:szCs w:val="24"/>
          <w:lang w:val="en-US"/>
        </w:rPr>
        <w:t xml:space="preserve">ides that the principle of </w:t>
      </w:r>
      <w:r w:rsidR="00511C8B" w:rsidRPr="00E43EDA">
        <w:rPr>
          <w:rFonts w:ascii="Tahoma" w:hAnsi="Tahoma" w:cs="Tahoma"/>
          <w:sz w:val="24"/>
          <w:szCs w:val="24"/>
          <w:lang w:val="en-US"/>
        </w:rPr>
        <w:t>legitimate</w:t>
      </w:r>
      <w:r w:rsidR="00C13FEE" w:rsidRPr="00E43EDA">
        <w:rPr>
          <w:rFonts w:ascii="Tahoma" w:hAnsi="Tahoma" w:cs="Tahoma"/>
          <w:sz w:val="24"/>
          <w:szCs w:val="24"/>
          <w:lang w:val="en-US"/>
        </w:rPr>
        <w:t xml:space="preserve"> expectations</w:t>
      </w:r>
      <w:r w:rsidRPr="00E43EDA">
        <w:rPr>
          <w:rFonts w:ascii="Tahoma" w:hAnsi="Tahoma" w:cs="Tahoma"/>
          <w:sz w:val="24"/>
          <w:szCs w:val="24"/>
          <w:lang w:val="en-US"/>
        </w:rPr>
        <w:t xml:space="preserve"> cannot be invoked against the obligations of the Member States to transpose EU-regulation.</w:t>
      </w:r>
      <w:r w:rsidRPr="00E43EDA">
        <w:rPr>
          <w:rStyle w:val="FootnoteReference"/>
          <w:rFonts w:ascii="Tahoma" w:hAnsi="Tahoma" w:cs="Tahoma"/>
          <w:sz w:val="24"/>
          <w:szCs w:val="24"/>
          <w:lang w:val="en-US"/>
        </w:rPr>
        <w:footnoteReference w:id="22"/>
      </w:r>
      <w:r w:rsidR="00074A6A" w:rsidRPr="00E43EDA">
        <w:rPr>
          <w:rFonts w:ascii="Tahoma" w:hAnsi="Tahoma" w:cs="Tahoma"/>
          <w:sz w:val="24"/>
          <w:szCs w:val="24"/>
          <w:lang w:val="en-US"/>
        </w:rPr>
        <w:t xml:space="preserve"> However, given the impact of the principle of trust in many Member States within the legal and constitutional framework of many Member States, it should take into account the specific legal weight of such a principle. </w:t>
      </w:r>
    </w:p>
    <w:p w:rsidR="00FB29F7" w:rsidRPr="00E43EDA" w:rsidRDefault="00FB29F7" w:rsidP="002F6413">
      <w:pPr>
        <w:jc w:val="both"/>
        <w:rPr>
          <w:rFonts w:ascii="Tahoma" w:hAnsi="Tahoma" w:cs="Tahoma"/>
          <w:sz w:val="24"/>
          <w:szCs w:val="24"/>
          <w:lang w:val="en-US"/>
        </w:rPr>
      </w:pPr>
      <w:r w:rsidRPr="00E43EDA">
        <w:rPr>
          <w:rFonts w:ascii="Tahoma" w:hAnsi="Tahoma" w:cs="Tahoma"/>
          <w:sz w:val="24"/>
          <w:szCs w:val="24"/>
          <w:lang w:val="en-US"/>
        </w:rPr>
        <w:t>It seems theref</w:t>
      </w:r>
      <w:r w:rsidR="00DC01A1" w:rsidRPr="00E43EDA">
        <w:rPr>
          <w:rFonts w:ascii="Tahoma" w:hAnsi="Tahoma" w:cs="Tahoma"/>
          <w:sz w:val="24"/>
          <w:szCs w:val="24"/>
          <w:lang w:val="en-US"/>
        </w:rPr>
        <w:t>o</w:t>
      </w:r>
      <w:r w:rsidRPr="00E43EDA">
        <w:rPr>
          <w:rFonts w:ascii="Tahoma" w:hAnsi="Tahoma" w:cs="Tahoma"/>
          <w:sz w:val="24"/>
          <w:szCs w:val="24"/>
          <w:lang w:val="en-US"/>
        </w:rPr>
        <w:t xml:space="preserve">re crucial to keep an eye on the new proposals on reforming the public sector regime and pensions of officials in Portugal. </w:t>
      </w:r>
      <w:r w:rsidR="009879A8">
        <w:rPr>
          <w:rFonts w:ascii="Tahoma" w:hAnsi="Tahoma" w:cs="Tahoma"/>
          <w:sz w:val="24"/>
          <w:szCs w:val="24"/>
          <w:lang w:val="en-US"/>
        </w:rPr>
        <w:t>C</w:t>
      </w:r>
      <w:r w:rsidRPr="00E43EDA">
        <w:rPr>
          <w:rFonts w:ascii="Tahoma" w:hAnsi="Tahoma" w:cs="Tahoma"/>
          <w:sz w:val="24"/>
          <w:szCs w:val="24"/>
          <w:lang w:val="en-US"/>
        </w:rPr>
        <w:t xml:space="preserve">onstitutional principles </w:t>
      </w:r>
      <w:r w:rsidR="009879A8">
        <w:rPr>
          <w:rFonts w:ascii="Tahoma" w:hAnsi="Tahoma" w:cs="Tahoma"/>
          <w:sz w:val="24"/>
          <w:szCs w:val="24"/>
          <w:lang w:val="en-US"/>
        </w:rPr>
        <w:t xml:space="preserve">will namely continue to </w:t>
      </w:r>
      <w:r w:rsidRPr="00E43EDA">
        <w:rPr>
          <w:rFonts w:ascii="Tahoma" w:hAnsi="Tahoma" w:cs="Tahoma"/>
          <w:sz w:val="24"/>
          <w:szCs w:val="24"/>
          <w:lang w:val="en-US"/>
        </w:rPr>
        <w:t xml:space="preserve">play an important role on the development of the austerity </w:t>
      </w:r>
      <w:proofErr w:type="gramStart"/>
      <w:r w:rsidRPr="00E43EDA">
        <w:rPr>
          <w:rFonts w:ascii="Tahoma" w:hAnsi="Tahoma" w:cs="Tahoma"/>
          <w:sz w:val="24"/>
          <w:szCs w:val="24"/>
          <w:lang w:val="en-US"/>
        </w:rPr>
        <w:t>measures which</w:t>
      </w:r>
      <w:proofErr w:type="gramEnd"/>
      <w:r w:rsidRPr="00E43EDA">
        <w:rPr>
          <w:rFonts w:ascii="Tahoma" w:hAnsi="Tahoma" w:cs="Tahoma"/>
          <w:sz w:val="24"/>
          <w:szCs w:val="24"/>
          <w:lang w:val="en-US"/>
        </w:rPr>
        <w:t xml:space="preserve"> Portugal needs to carry out.</w:t>
      </w:r>
    </w:p>
    <w:p w:rsidR="00DC01A1" w:rsidRPr="00E43EDA" w:rsidRDefault="00DC01A1" w:rsidP="00DC01A1">
      <w:pPr>
        <w:pStyle w:val="ListParagraph"/>
        <w:numPr>
          <w:ilvl w:val="0"/>
          <w:numId w:val="9"/>
        </w:numPr>
        <w:jc w:val="both"/>
        <w:rPr>
          <w:rFonts w:ascii="Tahoma" w:hAnsi="Tahoma" w:cs="Tahoma"/>
          <w:sz w:val="24"/>
          <w:szCs w:val="24"/>
          <w:lang w:val="en-US"/>
        </w:rPr>
      </w:pPr>
      <w:r w:rsidRPr="00E43EDA">
        <w:rPr>
          <w:rFonts w:ascii="Tahoma" w:hAnsi="Tahoma" w:cs="Tahoma"/>
          <w:sz w:val="24"/>
          <w:szCs w:val="24"/>
          <w:lang w:val="en-US"/>
        </w:rPr>
        <w:t>Spain</w:t>
      </w:r>
    </w:p>
    <w:p w:rsidR="00AA0F8B" w:rsidRPr="00E43EDA" w:rsidRDefault="00495C0E" w:rsidP="00DC01A1">
      <w:pPr>
        <w:jc w:val="both"/>
        <w:rPr>
          <w:rFonts w:ascii="Tahoma" w:hAnsi="Tahoma" w:cs="Tahoma"/>
          <w:sz w:val="24"/>
          <w:szCs w:val="24"/>
          <w:lang w:val="en-US"/>
        </w:rPr>
      </w:pPr>
      <w:r w:rsidRPr="00E43EDA">
        <w:rPr>
          <w:rFonts w:ascii="Tahoma" w:hAnsi="Tahoma" w:cs="Tahoma"/>
          <w:sz w:val="24"/>
          <w:szCs w:val="24"/>
          <w:lang w:val="en-US"/>
        </w:rPr>
        <w:t xml:space="preserve">Spain had to ask for financial assistance of the European Union, the European Central Bank and the International Monetary Fund </w:t>
      </w:r>
      <w:r w:rsidR="00060ACE" w:rsidRPr="00E43EDA">
        <w:rPr>
          <w:rFonts w:ascii="Tahoma" w:hAnsi="Tahoma" w:cs="Tahoma"/>
          <w:sz w:val="24"/>
          <w:szCs w:val="24"/>
          <w:lang w:val="en-US"/>
        </w:rPr>
        <w:t xml:space="preserve">due to the impact of the </w:t>
      </w:r>
      <w:r w:rsidR="00511C8B" w:rsidRPr="00E43EDA">
        <w:rPr>
          <w:rFonts w:ascii="Tahoma" w:hAnsi="Tahoma" w:cs="Tahoma"/>
          <w:sz w:val="24"/>
          <w:szCs w:val="24"/>
          <w:lang w:val="en-US"/>
        </w:rPr>
        <w:t>financial</w:t>
      </w:r>
      <w:r w:rsidR="00060ACE" w:rsidRPr="00E43EDA">
        <w:rPr>
          <w:rFonts w:ascii="Tahoma" w:hAnsi="Tahoma" w:cs="Tahoma"/>
          <w:sz w:val="24"/>
          <w:szCs w:val="24"/>
          <w:lang w:val="en-US"/>
        </w:rPr>
        <w:t xml:space="preserve"> crisis on Spain. Spain had to take measures to make its public sector more efficient.</w:t>
      </w:r>
      <w:r w:rsidR="00DC01A1" w:rsidRPr="00E43EDA">
        <w:rPr>
          <w:rFonts w:ascii="Tahoma" w:hAnsi="Tahoma" w:cs="Tahoma"/>
          <w:sz w:val="24"/>
          <w:szCs w:val="24"/>
          <w:lang w:val="en-US"/>
        </w:rPr>
        <w:t xml:space="preserve"> The financial and economic crisis hit Spain so severely that internal measures were necessary.</w:t>
      </w:r>
      <w:r w:rsidRPr="00E43EDA">
        <w:rPr>
          <w:rFonts w:ascii="Tahoma" w:hAnsi="Tahoma" w:cs="Tahoma"/>
          <w:sz w:val="24"/>
          <w:szCs w:val="24"/>
          <w:lang w:val="en-US"/>
        </w:rPr>
        <w:t xml:space="preserve"> </w:t>
      </w:r>
      <w:r w:rsidR="001B5933" w:rsidRPr="00E43EDA">
        <w:rPr>
          <w:rFonts w:ascii="Tahoma" w:hAnsi="Tahoma" w:cs="Tahoma"/>
          <w:sz w:val="24"/>
          <w:szCs w:val="24"/>
          <w:lang w:val="en-US"/>
        </w:rPr>
        <w:t>The S</w:t>
      </w:r>
      <w:r w:rsidR="009B21BD" w:rsidRPr="00E43EDA">
        <w:rPr>
          <w:rFonts w:ascii="Tahoma" w:hAnsi="Tahoma" w:cs="Tahoma"/>
          <w:sz w:val="24"/>
          <w:szCs w:val="24"/>
          <w:lang w:val="en-US"/>
        </w:rPr>
        <w:t>panish government enacted on a R</w:t>
      </w:r>
      <w:r w:rsidR="00AA0F8B" w:rsidRPr="00E43EDA">
        <w:rPr>
          <w:rFonts w:ascii="Tahoma" w:hAnsi="Tahoma" w:cs="Tahoma"/>
          <w:sz w:val="24"/>
          <w:szCs w:val="24"/>
          <w:lang w:val="en-US"/>
        </w:rPr>
        <w:t>oyal D</w:t>
      </w:r>
      <w:r w:rsidR="001B5933" w:rsidRPr="00E43EDA">
        <w:rPr>
          <w:rFonts w:ascii="Tahoma" w:hAnsi="Tahoma" w:cs="Tahoma"/>
          <w:sz w:val="24"/>
          <w:szCs w:val="24"/>
          <w:lang w:val="en-US"/>
        </w:rPr>
        <w:t>ecree</w:t>
      </w:r>
      <w:r w:rsidR="00AA0F8B" w:rsidRPr="00E43EDA">
        <w:rPr>
          <w:rFonts w:ascii="Tahoma" w:hAnsi="Tahoma" w:cs="Tahoma"/>
          <w:sz w:val="24"/>
          <w:szCs w:val="24"/>
          <w:lang w:val="en-US"/>
        </w:rPr>
        <w:t>-Act</w:t>
      </w:r>
      <w:r w:rsidR="001B5933" w:rsidRPr="00E43EDA">
        <w:rPr>
          <w:rFonts w:ascii="Tahoma" w:hAnsi="Tahoma" w:cs="Tahoma"/>
          <w:sz w:val="24"/>
          <w:szCs w:val="24"/>
          <w:lang w:val="en-US"/>
        </w:rPr>
        <w:t xml:space="preserve"> </w:t>
      </w:r>
      <w:r w:rsidR="009B21BD" w:rsidRPr="00E43EDA">
        <w:rPr>
          <w:rFonts w:ascii="Tahoma" w:hAnsi="Tahoma" w:cs="Tahoma"/>
          <w:sz w:val="24"/>
          <w:szCs w:val="24"/>
          <w:lang w:val="en-US"/>
        </w:rPr>
        <w:t xml:space="preserve">on 20 May 2010 </w:t>
      </w:r>
      <w:r w:rsidR="009B21BD" w:rsidRPr="00E43EDA">
        <w:rPr>
          <w:rFonts w:ascii="Tahoma" w:hAnsi="Tahoma" w:cs="Tahoma"/>
          <w:sz w:val="24"/>
          <w:szCs w:val="24"/>
          <w:lang w:val="en-US"/>
        </w:rPr>
        <w:lastRenderedPageBreak/>
        <w:t xml:space="preserve">including a five percent cut of wages of the officials in the public sector. </w:t>
      </w:r>
      <w:proofErr w:type="gramStart"/>
      <w:r w:rsidR="00AA0F8B" w:rsidRPr="00E43EDA">
        <w:rPr>
          <w:rFonts w:ascii="Tahoma" w:hAnsi="Tahoma" w:cs="Tahoma"/>
          <w:sz w:val="24"/>
          <w:szCs w:val="24"/>
          <w:lang w:val="en-US"/>
        </w:rPr>
        <w:t>This R</w:t>
      </w:r>
      <w:r w:rsidR="004629CC" w:rsidRPr="00E43EDA">
        <w:rPr>
          <w:rFonts w:ascii="Tahoma" w:hAnsi="Tahoma" w:cs="Tahoma"/>
          <w:sz w:val="24"/>
          <w:szCs w:val="24"/>
          <w:lang w:val="en-US"/>
        </w:rPr>
        <w:t xml:space="preserve">oyal decree was later </w:t>
      </w:r>
      <w:r w:rsidR="00303E81" w:rsidRPr="00E43EDA">
        <w:rPr>
          <w:rFonts w:ascii="Tahoma" w:hAnsi="Tahoma" w:cs="Tahoma"/>
          <w:sz w:val="24"/>
          <w:szCs w:val="24"/>
          <w:lang w:val="en-US"/>
        </w:rPr>
        <w:t>validated by Spanish Parliament</w:t>
      </w:r>
      <w:proofErr w:type="gramEnd"/>
      <w:r w:rsidR="00303E81" w:rsidRPr="00E43EDA">
        <w:rPr>
          <w:rFonts w:ascii="Tahoma" w:hAnsi="Tahoma" w:cs="Tahoma"/>
          <w:sz w:val="24"/>
          <w:szCs w:val="24"/>
          <w:lang w:val="en-US"/>
        </w:rPr>
        <w:t xml:space="preserve">. </w:t>
      </w:r>
      <w:r w:rsidR="00AA0F8B" w:rsidRPr="00E43EDA">
        <w:rPr>
          <w:rFonts w:ascii="Tahoma" w:hAnsi="Tahoma" w:cs="Tahoma"/>
          <w:sz w:val="24"/>
          <w:szCs w:val="24"/>
          <w:lang w:val="en-US"/>
        </w:rPr>
        <w:t xml:space="preserve">It concerns a specific </w:t>
      </w:r>
      <w:proofErr w:type="gramStart"/>
      <w:r w:rsidR="00AA0F8B" w:rsidRPr="00E43EDA">
        <w:rPr>
          <w:rFonts w:ascii="Tahoma" w:hAnsi="Tahoma" w:cs="Tahoma"/>
          <w:sz w:val="24"/>
          <w:szCs w:val="24"/>
          <w:lang w:val="en-US"/>
        </w:rPr>
        <w:t>procedure which</w:t>
      </w:r>
      <w:proofErr w:type="gramEnd"/>
      <w:r w:rsidR="00AA0F8B" w:rsidRPr="00E43EDA">
        <w:rPr>
          <w:rFonts w:ascii="Tahoma" w:hAnsi="Tahoma" w:cs="Tahoma"/>
          <w:sz w:val="24"/>
          <w:szCs w:val="24"/>
          <w:lang w:val="en-US"/>
        </w:rPr>
        <w:t xml:space="preserve"> is allowed by article 86 of the Constitution. </w:t>
      </w:r>
    </w:p>
    <w:p w:rsidR="00E8181E" w:rsidRPr="00E43EDA" w:rsidRDefault="00B10996" w:rsidP="00DC01A1">
      <w:pPr>
        <w:jc w:val="both"/>
        <w:rPr>
          <w:rFonts w:ascii="Tahoma" w:hAnsi="Tahoma" w:cs="Tahoma"/>
          <w:sz w:val="24"/>
          <w:szCs w:val="24"/>
          <w:lang w:val="en-US"/>
        </w:rPr>
      </w:pPr>
      <w:r w:rsidRPr="00E43EDA">
        <w:rPr>
          <w:rFonts w:ascii="Tahoma" w:hAnsi="Tahoma" w:cs="Tahoma"/>
          <w:sz w:val="24"/>
          <w:szCs w:val="24"/>
          <w:lang w:val="en-US"/>
        </w:rPr>
        <w:t xml:space="preserve">It seems that </w:t>
      </w:r>
      <w:r w:rsidR="00E8181E" w:rsidRPr="00E43EDA">
        <w:rPr>
          <w:rFonts w:ascii="Tahoma" w:hAnsi="Tahoma" w:cs="Tahoma"/>
          <w:sz w:val="24"/>
          <w:szCs w:val="24"/>
          <w:lang w:val="en-US"/>
        </w:rPr>
        <w:t>the Constitutional Court of Spain did not consider the unilateral decision that the modification of the collective agreement in the public secto</w:t>
      </w:r>
      <w:r w:rsidR="00677712" w:rsidRPr="00E43EDA">
        <w:rPr>
          <w:rFonts w:ascii="Tahoma" w:hAnsi="Tahoma" w:cs="Tahoma"/>
          <w:sz w:val="24"/>
          <w:szCs w:val="24"/>
          <w:lang w:val="en-US"/>
        </w:rPr>
        <w:t>r</w:t>
      </w:r>
      <w:r w:rsidR="00E8181E" w:rsidRPr="00E43EDA">
        <w:rPr>
          <w:rFonts w:ascii="Tahoma" w:hAnsi="Tahoma" w:cs="Tahoma"/>
          <w:sz w:val="24"/>
          <w:szCs w:val="24"/>
          <w:lang w:val="en-US"/>
        </w:rPr>
        <w:t xml:space="preserve"> were to be considered a bre</w:t>
      </w:r>
      <w:r w:rsidR="00AA0F8B" w:rsidRPr="00E43EDA">
        <w:rPr>
          <w:rFonts w:ascii="Tahoma" w:hAnsi="Tahoma" w:cs="Tahoma"/>
          <w:sz w:val="24"/>
          <w:szCs w:val="24"/>
          <w:lang w:val="en-US"/>
        </w:rPr>
        <w:t>a</w:t>
      </w:r>
      <w:r w:rsidR="00E8181E" w:rsidRPr="00E43EDA">
        <w:rPr>
          <w:rFonts w:ascii="Tahoma" w:hAnsi="Tahoma" w:cs="Tahoma"/>
          <w:sz w:val="24"/>
          <w:szCs w:val="24"/>
          <w:lang w:val="en-US"/>
        </w:rPr>
        <w:t>ch of the Constitution.</w:t>
      </w:r>
      <w:r w:rsidR="00E8181E" w:rsidRPr="00E43EDA">
        <w:rPr>
          <w:rStyle w:val="FootnoteReference"/>
          <w:rFonts w:ascii="Tahoma" w:hAnsi="Tahoma" w:cs="Tahoma"/>
          <w:sz w:val="24"/>
          <w:szCs w:val="24"/>
          <w:lang w:val="en-US"/>
        </w:rPr>
        <w:footnoteReference w:id="23"/>
      </w:r>
    </w:p>
    <w:p w:rsidR="0062084F" w:rsidRPr="00E43EDA" w:rsidRDefault="003E0026" w:rsidP="002F6413">
      <w:pPr>
        <w:jc w:val="both"/>
        <w:rPr>
          <w:rFonts w:ascii="Tahoma" w:hAnsi="Tahoma" w:cs="Tahoma"/>
          <w:sz w:val="24"/>
          <w:szCs w:val="24"/>
          <w:lang w:val="en-US"/>
        </w:rPr>
      </w:pPr>
      <w:r w:rsidRPr="00E43EDA">
        <w:rPr>
          <w:rFonts w:ascii="Tahoma" w:hAnsi="Tahoma" w:cs="Tahoma"/>
          <w:sz w:val="24"/>
          <w:szCs w:val="24"/>
          <w:lang w:val="en-US"/>
        </w:rPr>
        <w:t xml:space="preserve">The Spanish Constitutional Court </w:t>
      </w:r>
      <w:r w:rsidR="00893FEB" w:rsidRPr="00E43EDA">
        <w:rPr>
          <w:rFonts w:ascii="Tahoma" w:hAnsi="Tahoma" w:cs="Tahoma"/>
          <w:sz w:val="24"/>
          <w:szCs w:val="24"/>
          <w:lang w:val="en-US"/>
        </w:rPr>
        <w:t>rendered a decision on 7 June</w:t>
      </w:r>
      <w:r w:rsidR="00166AEE" w:rsidRPr="00E43EDA">
        <w:rPr>
          <w:rFonts w:ascii="Tahoma" w:hAnsi="Tahoma" w:cs="Tahoma"/>
          <w:sz w:val="24"/>
          <w:szCs w:val="24"/>
          <w:lang w:val="en-US"/>
        </w:rPr>
        <w:t xml:space="preserve"> 2011 </w:t>
      </w:r>
      <w:r w:rsidR="00466730" w:rsidRPr="00E43EDA">
        <w:rPr>
          <w:rFonts w:ascii="Tahoma" w:hAnsi="Tahoma" w:cs="Tahoma"/>
          <w:sz w:val="24"/>
          <w:szCs w:val="24"/>
          <w:lang w:val="en-US"/>
        </w:rPr>
        <w:t>that article 86 of the Spanish Constitution allowed the Spanish Government to enact Decree-legislation (later confirmed by Parliament). Article 86, first paragraph allows the Government to issue temporary l</w:t>
      </w:r>
      <w:r w:rsidR="00DC01A1" w:rsidRPr="00E43EDA">
        <w:rPr>
          <w:rFonts w:ascii="Tahoma" w:hAnsi="Tahoma" w:cs="Tahoma"/>
          <w:sz w:val="24"/>
          <w:szCs w:val="24"/>
          <w:lang w:val="en-US"/>
        </w:rPr>
        <w:t>e</w:t>
      </w:r>
      <w:r w:rsidR="00466730" w:rsidRPr="00E43EDA">
        <w:rPr>
          <w:rFonts w:ascii="Tahoma" w:hAnsi="Tahoma" w:cs="Tahoma"/>
          <w:sz w:val="24"/>
          <w:szCs w:val="24"/>
          <w:lang w:val="en-US"/>
        </w:rPr>
        <w:t xml:space="preserve">gislation in case of extraordinary and urgent need. </w:t>
      </w:r>
      <w:r w:rsidR="00511C8B" w:rsidRPr="00E43EDA">
        <w:rPr>
          <w:rFonts w:ascii="Tahoma" w:hAnsi="Tahoma" w:cs="Tahoma"/>
          <w:sz w:val="24"/>
          <w:szCs w:val="24"/>
          <w:lang w:val="en-US"/>
        </w:rPr>
        <w:t xml:space="preserve">The issues need to be ratified by Parliament afterwards and they may not affect the rights and duties set out in the first title of the Constitution. </w:t>
      </w:r>
      <w:r w:rsidR="00E31F03" w:rsidRPr="00E43EDA">
        <w:rPr>
          <w:rFonts w:ascii="Tahoma" w:hAnsi="Tahoma" w:cs="Tahoma"/>
          <w:sz w:val="24"/>
          <w:szCs w:val="24"/>
          <w:lang w:val="en-US"/>
        </w:rPr>
        <w:t>This last element was invoked as a major p</w:t>
      </w:r>
      <w:r w:rsidR="000C54FD" w:rsidRPr="00E43EDA">
        <w:rPr>
          <w:rFonts w:ascii="Tahoma" w:hAnsi="Tahoma" w:cs="Tahoma"/>
          <w:sz w:val="24"/>
          <w:szCs w:val="24"/>
          <w:lang w:val="en-US"/>
        </w:rPr>
        <w:t>roblem given the fact that article 28</w:t>
      </w:r>
      <w:r w:rsidR="00E31F03" w:rsidRPr="00E43EDA">
        <w:rPr>
          <w:rFonts w:ascii="Tahoma" w:hAnsi="Tahoma" w:cs="Tahoma"/>
          <w:sz w:val="24"/>
          <w:szCs w:val="24"/>
          <w:lang w:val="en-US"/>
        </w:rPr>
        <w:t xml:space="preserve"> of the Cons</w:t>
      </w:r>
      <w:r w:rsidR="000C54FD" w:rsidRPr="00E43EDA">
        <w:rPr>
          <w:rFonts w:ascii="Tahoma" w:hAnsi="Tahoma" w:cs="Tahoma"/>
          <w:sz w:val="24"/>
          <w:szCs w:val="24"/>
          <w:lang w:val="en-US"/>
        </w:rPr>
        <w:t>t</w:t>
      </w:r>
      <w:r w:rsidR="00E31F03" w:rsidRPr="00E43EDA">
        <w:rPr>
          <w:rFonts w:ascii="Tahoma" w:hAnsi="Tahoma" w:cs="Tahoma"/>
          <w:sz w:val="24"/>
          <w:szCs w:val="24"/>
          <w:lang w:val="en-US"/>
        </w:rPr>
        <w:t xml:space="preserve">itution </w:t>
      </w:r>
      <w:r w:rsidR="000C54FD" w:rsidRPr="00E43EDA">
        <w:rPr>
          <w:rFonts w:ascii="Tahoma" w:hAnsi="Tahoma" w:cs="Tahoma"/>
          <w:sz w:val="24"/>
          <w:szCs w:val="24"/>
          <w:lang w:val="en-US"/>
        </w:rPr>
        <w:t xml:space="preserve">(freedom of to form a trade union) and </w:t>
      </w:r>
      <w:r w:rsidR="000C54FD" w:rsidRPr="00E43EDA">
        <w:rPr>
          <w:rFonts w:ascii="Tahoma" w:hAnsi="Tahoma" w:cs="Tahoma"/>
          <w:sz w:val="24"/>
          <w:szCs w:val="24"/>
          <w:lang w:val="en-US"/>
        </w:rPr>
        <w:tab/>
        <w:t xml:space="preserve">article 37 of the Constitution (legal texts consolidate the principle of </w:t>
      </w:r>
      <w:r w:rsidR="00511C8B" w:rsidRPr="00E43EDA">
        <w:rPr>
          <w:rFonts w:ascii="Tahoma" w:hAnsi="Tahoma" w:cs="Tahoma"/>
          <w:sz w:val="24"/>
          <w:szCs w:val="24"/>
          <w:lang w:val="en-US"/>
        </w:rPr>
        <w:t>collective</w:t>
      </w:r>
      <w:r w:rsidR="000C54FD" w:rsidRPr="00E43EDA">
        <w:rPr>
          <w:rFonts w:ascii="Tahoma" w:hAnsi="Tahoma" w:cs="Tahoma"/>
          <w:sz w:val="24"/>
          <w:szCs w:val="24"/>
          <w:lang w:val="en-US"/>
        </w:rPr>
        <w:t xml:space="preserve"> bargaining), </w:t>
      </w:r>
      <w:r w:rsidR="00E31F03" w:rsidRPr="00E43EDA">
        <w:rPr>
          <w:rFonts w:ascii="Tahoma" w:hAnsi="Tahoma" w:cs="Tahoma"/>
          <w:sz w:val="24"/>
          <w:szCs w:val="24"/>
          <w:lang w:val="en-US"/>
        </w:rPr>
        <w:t xml:space="preserve">which </w:t>
      </w:r>
      <w:r w:rsidR="000C54FD" w:rsidRPr="00E43EDA">
        <w:rPr>
          <w:rFonts w:ascii="Tahoma" w:hAnsi="Tahoma" w:cs="Tahoma"/>
          <w:sz w:val="24"/>
          <w:szCs w:val="24"/>
          <w:lang w:val="en-US"/>
        </w:rPr>
        <w:t>both constitute</w:t>
      </w:r>
      <w:r w:rsidR="00E31F03" w:rsidRPr="00E43EDA">
        <w:rPr>
          <w:rFonts w:ascii="Tahoma" w:hAnsi="Tahoma" w:cs="Tahoma"/>
          <w:sz w:val="24"/>
          <w:szCs w:val="24"/>
          <w:lang w:val="en-US"/>
        </w:rPr>
        <w:t xml:space="preserve"> a</w:t>
      </w:r>
      <w:r w:rsidR="000C54FD" w:rsidRPr="00E43EDA">
        <w:rPr>
          <w:rFonts w:ascii="Tahoma" w:hAnsi="Tahoma" w:cs="Tahoma"/>
          <w:sz w:val="24"/>
          <w:szCs w:val="24"/>
          <w:lang w:val="en-US"/>
        </w:rPr>
        <w:t xml:space="preserve"> part of Title I, might be affected by the Royal Decree of 20 May 2010, consolidated by Parliament on 27 May 2010. However, the </w:t>
      </w:r>
      <w:r w:rsidR="00511C8B" w:rsidRPr="00E43EDA">
        <w:rPr>
          <w:rFonts w:ascii="Tahoma" w:hAnsi="Tahoma" w:cs="Tahoma"/>
          <w:sz w:val="24"/>
          <w:szCs w:val="24"/>
          <w:lang w:val="en-US"/>
        </w:rPr>
        <w:t>Constitutional</w:t>
      </w:r>
      <w:r w:rsidR="000C54FD" w:rsidRPr="00E43EDA">
        <w:rPr>
          <w:rFonts w:ascii="Tahoma" w:hAnsi="Tahoma" w:cs="Tahoma"/>
          <w:sz w:val="24"/>
          <w:szCs w:val="24"/>
          <w:lang w:val="en-US"/>
        </w:rPr>
        <w:t xml:space="preserve"> Court decided that the basic freedoms </w:t>
      </w:r>
      <w:r w:rsidR="00720945" w:rsidRPr="00E43EDA">
        <w:rPr>
          <w:rFonts w:ascii="Tahoma" w:hAnsi="Tahoma" w:cs="Tahoma"/>
          <w:sz w:val="24"/>
          <w:szCs w:val="24"/>
          <w:lang w:val="en-US"/>
        </w:rPr>
        <w:t xml:space="preserve">were not affected by the Royal </w:t>
      </w:r>
      <w:proofErr w:type="gramStart"/>
      <w:r w:rsidR="00720945" w:rsidRPr="00E43EDA">
        <w:rPr>
          <w:rFonts w:ascii="Tahoma" w:hAnsi="Tahoma" w:cs="Tahoma"/>
          <w:sz w:val="24"/>
          <w:szCs w:val="24"/>
          <w:lang w:val="en-US"/>
        </w:rPr>
        <w:t>D</w:t>
      </w:r>
      <w:r w:rsidR="000C54FD" w:rsidRPr="00E43EDA">
        <w:rPr>
          <w:rFonts w:ascii="Tahoma" w:hAnsi="Tahoma" w:cs="Tahoma"/>
          <w:sz w:val="24"/>
          <w:szCs w:val="24"/>
          <w:lang w:val="en-US"/>
        </w:rPr>
        <w:t>ecree which</w:t>
      </w:r>
      <w:proofErr w:type="gramEnd"/>
      <w:r w:rsidR="000C54FD" w:rsidRPr="00E43EDA">
        <w:rPr>
          <w:rFonts w:ascii="Tahoma" w:hAnsi="Tahoma" w:cs="Tahoma"/>
          <w:sz w:val="24"/>
          <w:szCs w:val="24"/>
          <w:lang w:val="en-US"/>
        </w:rPr>
        <w:t xml:space="preserve"> suspended the </w:t>
      </w:r>
      <w:r w:rsidR="00776415" w:rsidRPr="00E43EDA">
        <w:rPr>
          <w:rFonts w:ascii="Tahoma" w:hAnsi="Tahoma" w:cs="Tahoma"/>
          <w:sz w:val="24"/>
          <w:szCs w:val="24"/>
          <w:lang w:val="en-US"/>
        </w:rPr>
        <w:t>result of the collective negotiations (which provided an increase of the wages with 0.3%) by a decrease of the wages with 5% not a violation of the rights and duties in article 28 and 37 of the Spanish Constitution.</w:t>
      </w:r>
      <w:r w:rsidR="00776415" w:rsidRPr="00E43EDA">
        <w:rPr>
          <w:rStyle w:val="FootnoteReference"/>
          <w:rFonts w:ascii="Tahoma" w:hAnsi="Tahoma" w:cs="Tahoma"/>
          <w:sz w:val="24"/>
          <w:szCs w:val="24"/>
          <w:lang w:val="en-US"/>
        </w:rPr>
        <w:footnoteReference w:id="24"/>
      </w:r>
    </w:p>
    <w:p w:rsidR="00AA0F8B" w:rsidRPr="00E43EDA" w:rsidRDefault="004A4EE3" w:rsidP="002F6413">
      <w:pPr>
        <w:jc w:val="both"/>
        <w:rPr>
          <w:rFonts w:ascii="Tahoma" w:hAnsi="Tahoma" w:cs="Tahoma"/>
          <w:sz w:val="24"/>
          <w:szCs w:val="24"/>
          <w:lang w:val="en-US"/>
        </w:rPr>
      </w:pPr>
      <w:r w:rsidRPr="00E43EDA">
        <w:rPr>
          <w:rFonts w:ascii="Tahoma" w:hAnsi="Tahoma" w:cs="Tahoma"/>
          <w:sz w:val="24"/>
          <w:szCs w:val="24"/>
          <w:lang w:val="en-US"/>
        </w:rPr>
        <w:t xml:space="preserve">The Spanish government had motivated its </w:t>
      </w:r>
      <w:r w:rsidR="00893FEB" w:rsidRPr="00E43EDA">
        <w:rPr>
          <w:rFonts w:ascii="Tahoma" w:hAnsi="Tahoma" w:cs="Tahoma"/>
          <w:sz w:val="24"/>
          <w:szCs w:val="24"/>
          <w:lang w:val="en-US"/>
        </w:rPr>
        <w:t xml:space="preserve">choice by indicating that the strong economic and financial crisis required important and profound measures in order to </w:t>
      </w:r>
      <w:r w:rsidR="00511C8B" w:rsidRPr="00E43EDA">
        <w:rPr>
          <w:rFonts w:ascii="Tahoma" w:hAnsi="Tahoma" w:cs="Tahoma"/>
          <w:sz w:val="24"/>
          <w:szCs w:val="24"/>
          <w:lang w:val="en-US"/>
        </w:rPr>
        <w:t>reestablish</w:t>
      </w:r>
      <w:r w:rsidR="00893FEB" w:rsidRPr="00E43EDA">
        <w:rPr>
          <w:rFonts w:ascii="Tahoma" w:hAnsi="Tahoma" w:cs="Tahoma"/>
          <w:sz w:val="24"/>
          <w:szCs w:val="24"/>
          <w:lang w:val="en-US"/>
        </w:rPr>
        <w:t xml:space="preserve"> the Spanish position on economic and financial level.</w:t>
      </w:r>
      <w:r w:rsidR="00893FEB" w:rsidRPr="00E43EDA">
        <w:rPr>
          <w:rStyle w:val="FootnoteReference"/>
          <w:rFonts w:ascii="Tahoma" w:hAnsi="Tahoma" w:cs="Tahoma"/>
          <w:sz w:val="24"/>
          <w:szCs w:val="24"/>
          <w:lang w:val="en-US"/>
        </w:rPr>
        <w:footnoteReference w:id="25"/>
      </w:r>
      <w:r w:rsidR="00893FEB" w:rsidRPr="00E43EDA">
        <w:rPr>
          <w:rFonts w:ascii="Tahoma" w:hAnsi="Tahoma" w:cs="Tahoma"/>
          <w:sz w:val="24"/>
          <w:szCs w:val="24"/>
          <w:lang w:val="en-US"/>
        </w:rPr>
        <w:t xml:space="preserve"> The government clearly indicates the safeguard of the </w:t>
      </w:r>
      <w:r w:rsidR="00511C8B" w:rsidRPr="00E43EDA">
        <w:rPr>
          <w:rFonts w:ascii="Tahoma" w:hAnsi="Tahoma" w:cs="Tahoma"/>
          <w:sz w:val="24"/>
          <w:szCs w:val="24"/>
          <w:lang w:val="en-US"/>
        </w:rPr>
        <w:t>euro</w:t>
      </w:r>
      <w:r w:rsidR="00893FEB" w:rsidRPr="00E43EDA">
        <w:rPr>
          <w:rFonts w:ascii="Tahoma" w:hAnsi="Tahoma" w:cs="Tahoma"/>
          <w:sz w:val="24"/>
          <w:szCs w:val="24"/>
          <w:lang w:val="en-US"/>
        </w:rPr>
        <w:t xml:space="preserve"> and the </w:t>
      </w:r>
      <w:r w:rsidR="00511C8B" w:rsidRPr="00E43EDA">
        <w:rPr>
          <w:rFonts w:ascii="Tahoma" w:hAnsi="Tahoma" w:cs="Tahoma"/>
          <w:sz w:val="24"/>
          <w:szCs w:val="24"/>
          <w:lang w:val="en-US"/>
        </w:rPr>
        <w:t>stability</w:t>
      </w:r>
      <w:r w:rsidR="00893FEB" w:rsidRPr="00E43EDA">
        <w:rPr>
          <w:rFonts w:ascii="Tahoma" w:hAnsi="Tahoma" w:cs="Tahoma"/>
          <w:sz w:val="24"/>
          <w:szCs w:val="24"/>
          <w:lang w:val="en-US"/>
        </w:rPr>
        <w:t xml:space="preserve"> of the </w:t>
      </w:r>
      <w:r w:rsidR="00511C8B" w:rsidRPr="00E43EDA">
        <w:rPr>
          <w:rFonts w:ascii="Tahoma" w:hAnsi="Tahoma" w:cs="Tahoma"/>
          <w:sz w:val="24"/>
          <w:szCs w:val="24"/>
          <w:lang w:val="en-US"/>
        </w:rPr>
        <w:t>euro zone</w:t>
      </w:r>
      <w:r w:rsidR="00893FEB" w:rsidRPr="00E43EDA">
        <w:rPr>
          <w:rFonts w:ascii="Tahoma" w:hAnsi="Tahoma" w:cs="Tahoma"/>
          <w:sz w:val="24"/>
          <w:szCs w:val="24"/>
          <w:lang w:val="en-US"/>
        </w:rPr>
        <w:t xml:space="preserve"> implied a sense of </w:t>
      </w:r>
      <w:proofErr w:type="gramStart"/>
      <w:r w:rsidR="00893FEB" w:rsidRPr="00E43EDA">
        <w:rPr>
          <w:rFonts w:ascii="Tahoma" w:hAnsi="Tahoma" w:cs="Tahoma"/>
          <w:sz w:val="24"/>
          <w:szCs w:val="24"/>
          <w:lang w:val="en-US"/>
        </w:rPr>
        <w:t>urgency which</w:t>
      </w:r>
      <w:proofErr w:type="gramEnd"/>
      <w:r w:rsidR="00893FEB" w:rsidRPr="00E43EDA">
        <w:rPr>
          <w:rFonts w:ascii="Tahoma" w:hAnsi="Tahoma" w:cs="Tahoma"/>
          <w:sz w:val="24"/>
          <w:szCs w:val="24"/>
          <w:lang w:val="en-US"/>
        </w:rPr>
        <w:t xml:space="preserve"> called for immediate action. </w:t>
      </w:r>
      <w:r w:rsidR="00347FEB" w:rsidRPr="00E43EDA">
        <w:rPr>
          <w:rFonts w:ascii="Tahoma" w:hAnsi="Tahoma" w:cs="Tahoma"/>
          <w:sz w:val="24"/>
          <w:szCs w:val="24"/>
          <w:lang w:val="en-US"/>
        </w:rPr>
        <w:t>In order to allow economic recovery, management of public sector employees needs to be adapted. The Spanish government indicates that they tried to reconcile both as much as possible within the existing framework.</w:t>
      </w:r>
      <w:r w:rsidR="00347FEB" w:rsidRPr="00E43EDA">
        <w:rPr>
          <w:rStyle w:val="FootnoteReference"/>
          <w:rFonts w:ascii="Tahoma" w:hAnsi="Tahoma" w:cs="Tahoma"/>
          <w:sz w:val="24"/>
          <w:szCs w:val="24"/>
          <w:lang w:val="en-US"/>
        </w:rPr>
        <w:footnoteReference w:id="26"/>
      </w:r>
      <w:r w:rsidR="00347FEB" w:rsidRPr="00E43EDA">
        <w:rPr>
          <w:rFonts w:ascii="Tahoma" w:hAnsi="Tahoma" w:cs="Tahoma"/>
          <w:sz w:val="24"/>
          <w:szCs w:val="24"/>
          <w:lang w:val="en-US"/>
        </w:rPr>
        <w:t xml:space="preserve"> </w:t>
      </w:r>
    </w:p>
    <w:p w:rsidR="00347FEB" w:rsidRPr="00E43EDA" w:rsidRDefault="001C61B3" w:rsidP="002F6413">
      <w:pPr>
        <w:jc w:val="both"/>
        <w:rPr>
          <w:rFonts w:ascii="Tahoma" w:hAnsi="Tahoma" w:cs="Tahoma"/>
          <w:sz w:val="24"/>
          <w:szCs w:val="24"/>
          <w:lang w:val="en-US"/>
        </w:rPr>
      </w:pPr>
      <w:r w:rsidRPr="00E43EDA">
        <w:rPr>
          <w:rFonts w:ascii="Tahoma" w:hAnsi="Tahoma" w:cs="Tahoma"/>
          <w:sz w:val="24"/>
          <w:szCs w:val="24"/>
          <w:lang w:val="en-US"/>
        </w:rPr>
        <w:t>The stability programme 2011-2014 from the Spanish government clearly indicates that the wage cuts and the freezing of wages are an important element of the economic and financial recovery of the Spanish state.</w:t>
      </w:r>
      <w:r w:rsidRPr="00E43EDA">
        <w:rPr>
          <w:rStyle w:val="FootnoteReference"/>
          <w:rFonts w:ascii="Tahoma" w:hAnsi="Tahoma" w:cs="Tahoma"/>
          <w:sz w:val="24"/>
          <w:szCs w:val="24"/>
          <w:lang w:val="en-US"/>
        </w:rPr>
        <w:footnoteReference w:id="27"/>
      </w:r>
      <w:r w:rsidRPr="00E43EDA">
        <w:rPr>
          <w:rFonts w:ascii="Tahoma" w:hAnsi="Tahoma" w:cs="Tahoma"/>
          <w:sz w:val="24"/>
          <w:szCs w:val="24"/>
          <w:lang w:val="en-US"/>
        </w:rPr>
        <w:t xml:space="preserve"> It is explicitly indicated that these measures will lead to a recovery of 1.5 % of the GDP in order to overcome the crisis. </w:t>
      </w:r>
    </w:p>
    <w:p w:rsidR="009879A8" w:rsidRDefault="001C61B3" w:rsidP="002F6413">
      <w:pPr>
        <w:jc w:val="both"/>
        <w:rPr>
          <w:rFonts w:ascii="Tahoma" w:hAnsi="Tahoma" w:cs="Tahoma"/>
          <w:sz w:val="24"/>
          <w:szCs w:val="24"/>
          <w:lang w:val="en-US"/>
        </w:rPr>
      </w:pPr>
      <w:r w:rsidRPr="00E43EDA">
        <w:rPr>
          <w:rFonts w:ascii="Tahoma" w:hAnsi="Tahoma" w:cs="Tahoma"/>
          <w:sz w:val="24"/>
          <w:szCs w:val="24"/>
          <w:lang w:val="en-US"/>
        </w:rPr>
        <w:lastRenderedPageBreak/>
        <w:t xml:space="preserve">The economic advantages of the measures are considered and stressed, which seems understandable given the Memorandum of Understanding where important measures were put forward. It seems obvious that Spain does every effort it can to overcome its crisis. However, the legal framework wherein Spain has to be </w:t>
      </w:r>
      <w:proofErr w:type="gramStart"/>
      <w:r w:rsidRPr="00E43EDA">
        <w:rPr>
          <w:rFonts w:ascii="Tahoma" w:hAnsi="Tahoma" w:cs="Tahoma"/>
          <w:sz w:val="24"/>
          <w:szCs w:val="24"/>
          <w:lang w:val="en-US"/>
        </w:rPr>
        <w:t>deliver</w:t>
      </w:r>
      <w:proofErr w:type="gramEnd"/>
      <w:r w:rsidRPr="00E43EDA">
        <w:rPr>
          <w:rFonts w:ascii="Tahoma" w:hAnsi="Tahoma" w:cs="Tahoma"/>
          <w:sz w:val="24"/>
          <w:szCs w:val="24"/>
          <w:lang w:val="en-US"/>
        </w:rPr>
        <w:t xml:space="preserve"> these </w:t>
      </w:r>
      <w:r w:rsidR="00511C8B" w:rsidRPr="00E43EDA">
        <w:rPr>
          <w:rFonts w:ascii="Tahoma" w:hAnsi="Tahoma" w:cs="Tahoma"/>
          <w:sz w:val="24"/>
          <w:szCs w:val="24"/>
          <w:lang w:val="en-US"/>
        </w:rPr>
        <w:t>efforts</w:t>
      </w:r>
      <w:r w:rsidRPr="00E43EDA">
        <w:rPr>
          <w:rFonts w:ascii="Tahoma" w:hAnsi="Tahoma" w:cs="Tahoma"/>
          <w:sz w:val="24"/>
          <w:szCs w:val="24"/>
          <w:lang w:val="en-US"/>
        </w:rPr>
        <w:t xml:space="preserve"> is not mentioned at all. The constitutional validity and the qualification of these measures in the light of the international obligations of Spain are not considered. </w:t>
      </w:r>
    </w:p>
    <w:p w:rsidR="001C61B3" w:rsidRPr="00E43EDA" w:rsidRDefault="009879A8" w:rsidP="002F6413">
      <w:pPr>
        <w:jc w:val="both"/>
        <w:rPr>
          <w:rFonts w:ascii="Tahoma" w:hAnsi="Tahoma" w:cs="Tahoma"/>
          <w:sz w:val="24"/>
          <w:szCs w:val="24"/>
          <w:lang w:val="en-US"/>
        </w:rPr>
      </w:pPr>
      <w:r>
        <w:rPr>
          <w:rFonts w:ascii="Tahoma" w:hAnsi="Tahoma" w:cs="Tahoma"/>
          <w:sz w:val="24"/>
          <w:szCs w:val="24"/>
          <w:lang w:val="en-US"/>
        </w:rPr>
        <w:t>However, the later ILO-report indicates that, from an ILO-perspective, the decision to put collective bargaining aside raises some legal queries (read title 5).</w:t>
      </w:r>
    </w:p>
    <w:p w:rsidR="00DC01A1" w:rsidRPr="00E43EDA" w:rsidRDefault="00DC01A1" w:rsidP="00DC01A1">
      <w:pPr>
        <w:pStyle w:val="ListParagraph"/>
        <w:numPr>
          <w:ilvl w:val="0"/>
          <w:numId w:val="9"/>
        </w:numPr>
        <w:jc w:val="both"/>
        <w:rPr>
          <w:rFonts w:ascii="Tahoma" w:hAnsi="Tahoma" w:cs="Tahoma"/>
          <w:sz w:val="24"/>
          <w:szCs w:val="24"/>
          <w:lang w:val="en-US"/>
        </w:rPr>
      </w:pPr>
      <w:r w:rsidRPr="00E43EDA">
        <w:rPr>
          <w:rFonts w:ascii="Tahoma" w:hAnsi="Tahoma" w:cs="Tahoma"/>
          <w:sz w:val="24"/>
          <w:szCs w:val="24"/>
          <w:lang w:val="en-US"/>
        </w:rPr>
        <w:t>Belgium</w:t>
      </w:r>
    </w:p>
    <w:p w:rsidR="000548EF" w:rsidRPr="00E43EDA" w:rsidRDefault="000548EF" w:rsidP="000548EF">
      <w:pPr>
        <w:jc w:val="both"/>
        <w:rPr>
          <w:rFonts w:ascii="Tahoma" w:hAnsi="Tahoma" w:cs="Tahoma"/>
          <w:sz w:val="24"/>
          <w:szCs w:val="24"/>
          <w:lang w:val="en-US"/>
        </w:rPr>
      </w:pPr>
      <w:r w:rsidRPr="00E43EDA">
        <w:rPr>
          <w:rFonts w:ascii="Tahoma" w:hAnsi="Tahoma" w:cs="Tahoma"/>
          <w:sz w:val="24"/>
          <w:szCs w:val="24"/>
          <w:lang w:val="en-US"/>
        </w:rPr>
        <w:t xml:space="preserve">In Belgium, pensions of officials are still considered to be allowances for the performances of officials during their career. However, the </w:t>
      </w:r>
      <w:proofErr w:type="gramStart"/>
      <w:r w:rsidRPr="00E43EDA">
        <w:rPr>
          <w:rFonts w:ascii="Tahoma" w:hAnsi="Tahoma" w:cs="Tahoma"/>
          <w:sz w:val="24"/>
          <w:szCs w:val="24"/>
          <w:lang w:val="en-US"/>
        </w:rPr>
        <w:t>costs of those public pensions was</w:t>
      </w:r>
      <w:proofErr w:type="gramEnd"/>
      <w:r w:rsidRPr="00E43EDA">
        <w:rPr>
          <w:rFonts w:ascii="Tahoma" w:hAnsi="Tahoma" w:cs="Tahoma"/>
          <w:sz w:val="24"/>
          <w:szCs w:val="24"/>
          <w:lang w:val="en-US"/>
        </w:rPr>
        <w:t xml:space="preserve"> often considered to be one of the major threats of public spending in Belgium.</w:t>
      </w:r>
      <w:r w:rsidRPr="00E43EDA">
        <w:rPr>
          <w:rStyle w:val="FootnoteReference"/>
          <w:rFonts w:ascii="Tahoma" w:hAnsi="Tahoma" w:cs="Tahoma"/>
          <w:sz w:val="24"/>
          <w:szCs w:val="24"/>
          <w:lang w:val="en-US"/>
        </w:rPr>
        <w:footnoteReference w:id="28"/>
      </w:r>
      <w:r w:rsidRPr="00E43EDA">
        <w:rPr>
          <w:rFonts w:ascii="Tahoma" w:hAnsi="Tahoma" w:cs="Tahoma"/>
          <w:sz w:val="24"/>
          <w:szCs w:val="24"/>
          <w:lang w:val="en-US"/>
        </w:rPr>
        <w:t xml:space="preserve"> It is a consequence of the fact that Belgium has not yet undergone a major reform holding a full “normalisation” of the social security status of the officials.</w:t>
      </w:r>
    </w:p>
    <w:p w:rsidR="000548EF" w:rsidRPr="00E43EDA" w:rsidRDefault="000548EF" w:rsidP="000548EF">
      <w:pPr>
        <w:jc w:val="both"/>
        <w:rPr>
          <w:rFonts w:ascii="Tahoma" w:hAnsi="Tahoma" w:cs="Tahoma"/>
          <w:sz w:val="24"/>
          <w:szCs w:val="24"/>
          <w:lang w:val="en-US"/>
        </w:rPr>
      </w:pPr>
      <w:r w:rsidRPr="00E43EDA">
        <w:rPr>
          <w:rFonts w:ascii="Tahoma" w:hAnsi="Tahoma" w:cs="Tahoma"/>
          <w:sz w:val="24"/>
          <w:szCs w:val="24"/>
          <w:lang w:val="en-US"/>
        </w:rPr>
        <w:t xml:space="preserve">Given the decision of the </w:t>
      </w:r>
      <w:r w:rsidR="009B57E6" w:rsidRPr="00E43EDA">
        <w:rPr>
          <w:rFonts w:ascii="Tahoma" w:hAnsi="Tahoma" w:cs="Tahoma"/>
          <w:sz w:val="24"/>
          <w:szCs w:val="24"/>
          <w:lang w:val="en-US"/>
        </w:rPr>
        <w:t xml:space="preserve">EU </w:t>
      </w:r>
      <w:r w:rsidRPr="00E43EDA">
        <w:rPr>
          <w:rFonts w:ascii="Tahoma" w:hAnsi="Tahoma" w:cs="Tahoma"/>
          <w:sz w:val="24"/>
          <w:szCs w:val="24"/>
          <w:lang w:val="en-US"/>
        </w:rPr>
        <w:t xml:space="preserve">Council </w:t>
      </w:r>
      <w:r w:rsidR="009B57E6" w:rsidRPr="00E43EDA">
        <w:rPr>
          <w:rFonts w:ascii="Tahoma" w:hAnsi="Tahoma" w:cs="Tahoma"/>
          <w:sz w:val="24"/>
          <w:szCs w:val="24"/>
          <w:lang w:val="en-US"/>
        </w:rPr>
        <w:t xml:space="preserve">of Ministers </w:t>
      </w:r>
      <w:r w:rsidRPr="00E43EDA">
        <w:rPr>
          <w:rFonts w:ascii="Tahoma" w:hAnsi="Tahoma" w:cs="Tahoma"/>
          <w:sz w:val="24"/>
          <w:szCs w:val="24"/>
          <w:lang w:val="en-US"/>
        </w:rPr>
        <w:t>on 2 December 2009, Belgium needed to find a solution to cut public spending. As pensions of the officials were considered to be one of the major threats of public spending, it was obvious that a reform of the pension of officials would be considered.</w:t>
      </w:r>
    </w:p>
    <w:p w:rsidR="000548EF" w:rsidRPr="00E43EDA" w:rsidRDefault="000548EF" w:rsidP="000548EF">
      <w:pPr>
        <w:jc w:val="both"/>
        <w:rPr>
          <w:rFonts w:ascii="Tahoma" w:hAnsi="Tahoma" w:cs="Tahoma"/>
          <w:sz w:val="24"/>
          <w:szCs w:val="24"/>
          <w:lang w:val="en-US"/>
        </w:rPr>
      </w:pPr>
      <w:r w:rsidRPr="00E43EDA">
        <w:rPr>
          <w:rFonts w:ascii="Tahoma" w:hAnsi="Tahoma" w:cs="Tahoma"/>
          <w:sz w:val="24"/>
          <w:szCs w:val="24"/>
          <w:lang w:val="en-US"/>
        </w:rPr>
        <w:t xml:space="preserve">The governmental agreement of 1 December 2011 starts with a clear indication that Belgium needs to rationalize its budget deficit in 2012 to 2.8% and to have a financial balance in 2015. One of the major elements to develop a major cut in public spending was to modify regulations dealing with pensions in the public sector. The Act of 28 December 2011 modified the calculation of the pension of Belgian officials with numerous important elements. Until that date, the pension was calculated based on the average income of the last five years of the career. Several officials had furthermore the advantage of not having to work a full career of 35 years in order to obtain a full pension. From 1 January 2012 (the reform took place within a period of one month), the pension will be calculated on the average income of the last ten years. Furthermore, the number of </w:t>
      </w:r>
      <w:proofErr w:type="gramStart"/>
      <w:r w:rsidRPr="00E43EDA">
        <w:rPr>
          <w:rFonts w:ascii="Tahoma" w:hAnsi="Tahoma" w:cs="Tahoma"/>
          <w:sz w:val="24"/>
          <w:szCs w:val="24"/>
          <w:lang w:val="en-US"/>
        </w:rPr>
        <w:t>years which were necessary for a full career as official</w:t>
      </w:r>
      <w:proofErr w:type="gramEnd"/>
      <w:r w:rsidRPr="00E43EDA">
        <w:rPr>
          <w:rFonts w:ascii="Tahoma" w:hAnsi="Tahoma" w:cs="Tahoma"/>
          <w:sz w:val="24"/>
          <w:szCs w:val="24"/>
          <w:lang w:val="en-US"/>
        </w:rPr>
        <w:t xml:space="preserve"> were lifted from 35 years till 40 years and the preferential career systems (for judges, priests and university professors) were amended. </w:t>
      </w:r>
      <w:r w:rsidR="009B57E6" w:rsidRPr="00E43EDA">
        <w:rPr>
          <w:rFonts w:ascii="Tahoma" w:hAnsi="Tahoma" w:cs="Tahoma"/>
          <w:sz w:val="24"/>
          <w:szCs w:val="24"/>
          <w:lang w:val="en-US"/>
        </w:rPr>
        <w:t xml:space="preserve">The EU </w:t>
      </w:r>
      <w:r w:rsidRPr="00E43EDA">
        <w:rPr>
          <w:rFonts w:ascii="Tahoma" w:hAnsi="Tahoma" w:cs="Tahoma"/>
          <w:sz w:val="24"/>
          <w:szCs w:val="24"/>
          <w:lang w:val="en-US"/>
        </w:rPr>
        <w:t xml:space="preserve">Commission </w:t>
      </w:r>
      <w:proofErr w:type="gramStart"/>
      <w:r w:rsidRPr="00E43EDA">
        <w:rPr>
          <w:rFonts w:ascii="Tahoma" w:hAnsi="Tahoma" w:cs="Tahoma"/>
          <w:sz w:val="24"/>
          <w:szCs w:val="24"/>
          <w:lang w:val="en-US"/>
        </w:rPr>
        <w:t>staff working</w:t>
      </w:r>
      <w:proofErr w:type="gramEnd"/>
      <w:r w:rsidRPr="00E43EDA">
        <w:rPr>
          <w:rFonts w:ascii="Tahoma" w:hAnsi="Tahoma" w:cs="Tahoma"/>
          <w:sz w:val="24"/>
          <w:szCs w:val="24"/>
          <w:lang w:val="en-US"/>
        </w:rPr>
        <w:t xml:space="preserve"> document indicates that the pension reform does stabilize the </w:t>
      </w:r>
      <w:r w:rsidR="00511C8B" w:rsidRPr="00E43EDA">
        <w:rPr>
          <w:rFonts w:ascii="Tahoma" w:hAnsi="Tahoma" w:cs="Tahoma"/>
          <w:sz w:val="24"/>
          <w:szCs w:val="24"/>
          <w:lang w:val="en-US"/>
        </w:rPr>
        <w:t>budgetary</w:t>
      </w:r>
      <w:r w:rsidRPr="00E43EDA">
        <w:rPr>
          <w:rFonts w:ascii="Tahoma" w:hAnsi="Tahoma" w:cs="Tahoma"/>
          <w:sz w:val="24"/>
          <w:szCs w:val="24"/>
          <w:lang w:val="en-US"/>
        </w:rPr>
        <w:t xml:space="preserve"> equivalence of Belgium. The </w:t>
      </w:r>
      <w:r w:rsidR="00511C8B" w:rsidRPr="00E43EDA">
        <w:rPr>
          <w:rFonts w:ascii="Tahoma" w:hAnsi="Tahoma" w:cs="Tahoma"/>
          <w:sz w:val="24"/>
          <w:szCs w:val="24"/>
          <w:lang w:val="en-US"/>
        </w:rPr>
        <w:t>budgetary</w:t>
      </w:r>
      <w:r w:rsidRPr="00E43EDA">
        <w:rPr>
          <w:rFonts w:ascii="Tahoma" w:hAnsi="Tahoma" w:cs="Tahoma"/>
          <w:sz w:val="24"/>
          <w:szCs w:val="24"/>
          <w:lang w:val="en-US"/>
        </w:rPr>
        <w:t xml:space="preserve"> deficit has now decreased </w:t>
      </w:r>
      <w:proofErr w:type="gramStart"/>
      <w:r w:rsidRPr="00E43EDA">
        <w:rPr>
          <w:rFonts w:ascii="Tahoma" w:hAnsi="Tahoma" w:cs="Tahoma"/>
          <w:sz w:val="24"/>
          <w:szCs w:val="24"/>
          <w:lang w:val="en-US"/>
        </w:rPr>
        <w:t>under</w:t>
      </w:r>
      <w:proofErr w:type="gramEnd"/>
      <w:r w:rsidRPr="00E43EDA">
        <w:rPr>
          <w:rFonts w:ascii="Tahoma" w:hAnsi="Tahoma" w:cs="Tahoma"/>
          <w:sz w:val="24"/>
          <w:szCs w:val="24"/>
          <w:lang w:val="en-US"/>
        </w:rPr>
        <w:t xml:space="preserve"> 3% of the GBP. </w:t>
      </w:r>
    </w:p>
    <w:p w:rsidR="009879A8" w:rsidRDefault="000548EF" w:rsidP="000548EF">
      <w:pPr>
        <w:jc w:val="both"/>
        <w:rPr>
          <w:rFonts w:ascii="Tahoma" w:hAnsi="Tahoma" w:cs="Tahoma"/>
          <w:sz w:val="24"/>
          <w:szCs w:val="24"/>
          <w:lang w:val="en-US"/>
        </w:rPr>
      </w:pPr>
      <w:r w:rsidRPr="00E43EDA">
        <w:rPr>
          <w:rFonts w:ascii="Tahoma" w:hAnsi="Tahoma" w:cs="Tahoma"/>
          <w:sz w:val="24"/>
          <w:szCs w:val="24"/>
          <w:lang w:val="en-US"/>
        </w:rPr>
        <w:lastRenderedPageBreak/>
        <w:t xml:space="preserve">However, the </w:t>
      </w:r>
      <w:r w:rsidR="009B57E6" w:rsidRPr="00E43EDA">
        <w:rPr>
          <w:rFonts w:ascii="Tahoma" w:hAnsi="Tahoma" w:cs="Tahoma"/>
          <w:sz w:val="24"/>
          <w:szCs w:val="24"/>
          <w:lang w:val="en-US"/>
        </w:rPr>
        <w:t xml:space="preserve">bill of the </w:t>
      </w:r>
      <w:r w:rsidRPr="00E43EDA">
        <w:rPr>
          <w:rFonts w:ascii="Tahoma" w:hAnsi="Tahoma" w:cs="Tahoma"/>
          <w:sz w:val="24"/>
          <w:szCs w:val="24"/>
          <w:lang w:val="en-US"/>
        </w:rPr>
        <w:t xml:space="preserve">Act of 28 December 2011 which lifted the minimal pension age from 60 years to 62 years (and later on step by step to 65 years) has not been </w:t>
      </w:r>
      <w:r w:rsidR="00385915">
        <w:rPr>
          <w:rFonts w:ascii="Tahoma" w:hAnsi="Tahoma" w:cs="Tahoma"/>
          <w:sz w:val="24"/>
          <w:szCs w:val="24"/>
          <w:lang w:val="en-US"/>
        </w:rPr>
        <w:t>properly</w:t>
      </w:r>
      <w:r w:rsidR="009879A8">
        <w:rPr>
          <w:rFonts w:ascii="Tahoma" w:hAnsi="Tahoma" w:cs="Tahoma"/>
          <w:sz w:val="24"/>
          <w:szCs w:val="24"/>
          <w:lang w:val="en-US"/>
        </w:rPr>
        <w:t xml:space="preserve"> </w:t>
      </w:r>
      <w:r w:rsidRPr="00E43EDA">
        <w:rPr>
          <w:rFonts w:ascii="Tahoma" w:hAnsi="Tahoma" w:cs="Tahoma"/>
          <w:sz w:val="24"/>
          <w:szCs w:val="24"/>
          <w:lang w:val="en-US"/>
        </w:rPr>
        <w:t xml:space="preserve">negotiated with the representative trade unions although that the Act of 19 December 1974 obliges the Belgian State has to negotiate concerning the essential elements of the </w:t>
      </w:r>
      <w:r w:rsidR="00511C8B" w:rsidRPr="00E43EDA">
        <w:rPr>
          <w:rFonts w:ascii="Tahoma" w:hAnsi="Tahoma" w:cs="Tahoma"/>
          <w:sz w:val="24"/>
          <w:szCs w:val="24"/>
          <w:lang w:val="en-US"/>
        </w:rPr>
        <w:t>administrative</w:t>
      </w:r>
      <w:r w:rsidRPr="00E43EDA">
        <w:rPr>
          <w:rFonts w:ascii="Tahoma" w:hAnsi="Tahoma" w:cs="Tahoma"/>
          <w:sz w:val="24"/>
          <w:szCs w:val="24"/>
          <w:lang w:val="en-US"/>
        </w:rPr>
        <w:t xml:space="preserve"> and pecuniary status of the officials. </w:t>
      </w:r>
      <w:r w:rsidR="009B57E6" w:rsidRPr="00E43EDA">
        <w:rPr>
          <w:rFonts w:ascii="Tahoma" w:hAnsi="Tahoma" w:cs="Tahoma"/>
          <w:sz w:val="24"/>
          <w:szCs w:val="24"/>
          <w:lang w:val="en-US"/>
        </w:rPr>
        <w:t>Belgian federal</w:t>
      </w:r>
      <w:r w:rsidR="00674D5F" w:rsidRPr="00E43EDA">
        <w:rPr>
          <w:rFonts w:ascii="Tahoma" w:hAnsi="Tahoma" w:cs="Tahoma"/>
          <w:sz w:val="24"/>
          <w:szCs w:val="24"/>
          <w:lang w:val="en-US"/>
        </w:rPr>
        <w:t xml:space="preserve"> government found a solution to this obstacle</w:t>
      </w:r>
      <w:r w:rsidR="009879A8">
        <w:rPr>
          <w:rFonts w:ascii="Tahoma" w:hAnsi="Tahoma" w:cs="Tahoma"/>
          <w:sz w:val="24"/>
          <w:szCs w:val="24"/>
          <w:lang w:val="en-US"/>
        </w:rPr>
        <w:t xml:space="preserve"> by modifying the original proposal (which is submitted to the </w:t>
      </w:r>
      <w:r w:rsidR="00385915">
        <w:rPr>
          <w:rFonts w:ascii="Tahoma" w:hAnsi="Tahoma" w:cs="Tahoma"/>
          <w:sz w:val="24"/>
          <w:szCs w:val="24"/>
          <w:lang w:val="en-US"/>
        </w:rPr>
        <w:t>stipulations</w:t>
      </w:r>
      <w:r w:rsidR="009879A8">
        <w:rPr>
          <w:rFonts w:ascii="Tahoma" w:hAnsi="Tahoma" w:cs="Tahoma"/>
          <w:sz w:val="24"/>
          <w:szCs w:val="24"/>
          <w:lang w:val="en-US"/>
        </w:rPr>
        <w:t xml:space="preserve"> of the Act of 19 December 1974) </w:t>
      </w:r>
      <w:r w:rsidR="00674D5F" w:rsidRPr="00E43EDA">
        <w:rPr>
          <w:rFonts w:ascii="Tahoma" w:hAnsi="Tahoma" w:cs="Tahoma"/>
          <w:sz w:val="24"/>
          <w:szCs w:val="24"/>
          <w:lang w:val="en-US"/>
        </w:rPr>
        <w:t xml:space="preserve">with </w:t>
      </w:r>
      <w:proofErr w:type="gramStart"/>
      <w:r w:rsidR="00674D5F" w:rsidRPr="00E43EDA">
        <w:rPr>
          <w:rFonts w:ascii="Tahoma" w:hAnsi="Tahoma" w:cs="Tahoma"/>
          <w:sz w:val="24"/>
          <w:szCs w:val="24"/>
          <w:lang w:val="en-US"/>
        </w:rPr>
        <w:t>an</w:t>
      </w:r>
      <w:proofErr w:type="gramEnd"/>
      <w:r w:rsidR="00674D5F" w:rsidRPr="00E43EDA">
        <w:rPr>
          <w:rFonts w:ascii="Tahoma" w:hAnsi="Tahoma" w:cs="Tahoma"/>
          <w:sz w:val="24"/>
          <w:szCs w:val="24"/>
          <w:lang w:val="en-US"/>
        </w:rPr>
        <w:t xml:space="preserve"> </w:t>
      </w:r>
      <w:r w:rsidR="00511C8B" w:rsidRPr="00E43EDA">
        <w:rPr>
          <w:rFonts w:ascii="Tahoma" w:hAnsi="Tahoma" w:cs="Tahoma"/>
          <w:sz w:val="24"/>
          <w:szCs w:val="24"/>
          <w:lang w:val="en-US"/>
        </w:rPr>
        <w:t>parliamentary</w:t>
      </w:r>
      <w:r w:rsidR="00674D5F" w:rsidRPr="00E43EDA">
        <w:rPr>
          <w:rFonts w:ascii="Tahoma" w:hAnsi="Tahoma" w:cs="Tahoma"/>
          <w:sz w:val="24"/>
          <w:szCs w:val="24"/>
          <w:lang w:val="en-US"/>
        </w:rPr>
        <w:t xml:space="preserve"> amendment</w:t>
      </w:r>
      <w:r w:rsidR="009879A8">
        <w:rPr>
          <w:rFonts w:ascii="Tahoma" w:hAnsi="Tahoma" w:cs="Tahoma"/>
          <w:sz w:val="24"/>
          <w:szCs w:val="24"/>
          <w:lang w:val="en-US"/>
        </w:rPr>
        <w:t xml:space="preserve"> (which are not submitted to this legislation)</w:t>
      </w:r>
      <w:r w:rsidR="00674D5F" w:rsidRPr="00E43EDA">
        <w:rPr>
          <w:rFonts w:ascii="Tahoma" w:hAnsi="Tahoma" w:cs="Tahoma"/>
          <w:sz w:val="24"/>
          <w:szCs w:val="24"/>
          <w:lang w:val="en-US"/>
        </w:rPr>
        <w:t xml:space="preserve">. It indicates how Belgian </w:t>
      </w:r>
      <w:r w:rsidR="00511C8B" w:rsidRPr="00E43EDA">
        <w:rPr>
          <w:rFonts w:ascii="Tahoma" w:hAnsi="Tahoma" w:cs="Tahoma"/>
          <w:sz w:val="24"/>
          <w:szCs w:val="24"/>
          <w:lang w:val="en-US"/>
        </w:rPr>
        <w:t>government</w:t>
      </w:r>
      <w:r w:rsidR="00674D5F" w:rsidRPr="00E43EDA">
        <w:rPr>
          <w:rFonts w:ascii="Tahoma" w:hAnsi="Tahoma" w:cs="Tahoma"/>
          <w:sz w:val="24"/>
          <w:szCs w:val="24"/>
          <w:lang w:val="en-US"/>
        </w:rPr>
        <w:t>, by using a trick, avoided the legislative obligation to negotiate with representative trade unions concerning this issue.</w:t>
      </w:r>
      <w:r w:rsidR="00674D5F" w:rsidRPr="00E43EDA">
        <w:rPr>
          <w:rStyle w:val="FootnoteReference"/>
          <w:rFonts w:ascii="Tahoma" w:hAnsi="Tahoma" w:cs="Tahoma"/>
          <w:sz w:val="24"/>
          <w:szCs w:val="24"/>
          <w:lang w:val="en-US"/>
        </w:rPr>
        <w:footnoteReference w:id="29"/>
      </w:r>
      <w:r w:rsidR="00674D5F" w:rsidRPr="00E43EDA">
        <w:rPr>
          <w:rFonts w:ascii="Tahoma" w:hAnsi="Tahoma" w:cs="Tahoma"/>
          <w:sz w:val="24"/>
          <w:szCs w:val="24"/>
          <w:lang w:val="en-US"/>
        </w:rPr>
        <w:t xml:space="preserve"> The Belgium stability program (2012-2015) however does not mention this legal issues and just indicates that Belgiu</w:t>
      </w:r>
      <w:r w:rsidR="008E458F" w:rsidRPr="00E43EDA">
        <w:rPr>
          <w:rFonts w:ascii="Tahoma" w:hAnsi="Tahoma" w:cs="Tahoma"/>
          <w:sz w:val="24"/>
          <w:szCs w:val="24"/>
          <w:lang w:val="en-US"/>
        </w:rPr>
        <w:t>m has reduced the pensions of officials.</w:t>
      </w:r>
      <w:r w:rsidR="008E458F" w:rsidRPr="00E43EDA">
        <w:rPr>
          <w:rStyle w:val="FootnoteReference"/>
          <w:rFonts w:ascii="Tahoma" w:hAnsi="Tahoma" w:cs="Tahoma"/>
          <w:sz w:val="24"/>
          <w:szCs w:val="24"/>
          <w:lang w:val="en-US"/>
        </w:rPr>
        <w:footnoteReference w:id="30"/>
      </w:r>
      <w:r w:rsidR="008E458F" w:rsidRPr="00E43EDA">
        <w:rPr>
          <w:rFonts w:ascii="Tahoma" w:hAnsi="Tahoma" w:cs="Tahoma"/>
          <w:sz w:val="24"/>
          <w:szCs w:val="24"/>
          <w:lang w:val="en-US"/>
        </w:rPr>
        <w:t xml:space="preserve"> </w:t>
      </w:r>
    </w:p>
    <w:p w:rsidR="009879A8" w:rsidRDefault="008E458F" w:rsidP="000548EF">
      <w:pPr>
        <w:jc w:val="both"/>
        <w:rPr>
          <w:rFonts w:ascii="Tahoma" w:hAnsi="Tahoma" w:cs="Tahoma"/>
          <w:sz w:val="24"/>
          <w:szCs w:val="24"/>
          <w:lang w:val="en-US"/>
        </w:rPr>
      </w:pPr>
      <w:r w:rsidRPr="00E43EDA">
        <w:rPr>
          <w:rFonts w:ascii="Tahoma" w:hAnsi="Tahoma" w:cs="Tahoma"/>
          <w:sz w:val="24"/>
          <w:szCs w:val="24"/>
          <w:lang w:val="en-US"/>
        </w:rPr>
        <w:t>Althou</w:t>
      </w:r>
      <w:r w:rsidR="009879A8">
        <w:rPr>
          <w:rFonts w:ascii="Tahoma" w:hAnsi="Tahoma" w:cs="Tahoma"/>
          <w:sz w:val="24"/>
          <w:szCs w:val="24"/>
          <w:lang w:val="en-US"/>
        </w:rPr>
        <w:t>gh</w:t>
      </w:r>
      <w:r w:rsidRPr="00E43EDA">
        <w:rPr>
          <w:rFonts w:ascii="Tahoma" w:hAnsi="Tahoma" w:cs="Tahoma"/>
          <w:sz w:val="24"/>
          <w:szCs w:val="24"/>
          <w:lang w:val="en-US"/>
        </w:rPr>
        <w:t xml:space="preserve"> </w:t>
      </w:r>
      <w:r w:rsidR="009879A8">
        <w:rPr>
          <w:rFonts w:ascii="Tahoma" w:hAnsi="Tahoma" w:cs="Tahoma"/>
          <w:sz w:val="24"/>
          <w:szCs w:val="24"/>
          <w:lang w:val="en-US"/>
        </w:rPr>
        <w:t xml:space="preserve">constitutional issues </w:t>
      </w:r>
      <w:r w:rsidRPr="00E43EDA">
        <w:rPr>
          <w:rFonts w:ascii="Tahoma" w:hAnsi="Tahoma" w:cs="Tahoma"/>
          <w:sz w:val="24"/>
          <w:szCs w:val="24"/>
          <w:lang w:val="en-US"/>
        </w:rPr>
        <w:t xml:space="preserve">against </w:t>
      </w:r>
      <w:proofErr w:type="gramStart"/>
      <w:r w:rsidRPr="00E43EDA">
        <w:rPr>
          <w:rFonts w:ascii="Tahoma" w:hAnsi="Tahoma" w:cs="Tahoma"/>
          <w:sz w:val="24"/>
          <w:szCs w:val="24"/>
          <w:lang w:val="en-US"/>
        </w:rPr>
        <w:t>this new regulations</w:t>
      </w:r>
      <w:proofErr w:type="gramEnd"/>
      <w:r w:rsidRPr="00E43EDA">
        <w:rPr>
          <w:rFonts w:ascii="Tahoma" w:hAnsi="Tahoma" w:cs="Tahoma"/>
          <w:sz w:val="24"/>
          <w:szCs w:val="24"/>
          <w:lang w:val="en-US"/>
        </w:rPr>
        <w:t xml:space="preserve"> were raised</w:t>
      </w:r>
      <w:r w:rsidR="009879A8">
        <w:rPr>
          <w:rFonts w:ascii="Tahoma" w:hAnsi="Tahoma" w:cs="Tahoma"/>
          <w:sz w:val="24"/>
          <w:szCs w:val="24"/>
          <w:lang w:val="en-US"/>
        </w:rPr>
        <w:t xml:space="preserve"> in front of the Constitutional Court</w:t>
      </w:r>
      <w:r w:rsidRPr="00E43EDA">
        <w:rPr>
          <w:rFonts w:ascii="Tahoma" w:hAnsi="Tahoma" w:cs="Tahoma"/>
          <w:sz w:val="24"/>
          <w:szCs w:val="24"/>
          <w:lang w:val="en-US"/>
        </w:rPr>
        <w:t xml:space="preserve">, it was not mentioned that the action of </w:t>
      </w:r>
      <w:r w:rsidR="00511C8B" w:rsidRPr="00E43EDA">
        <w:rPr>
          <w:rFonts w:ascii="Tahoma" w:hAnsi="Tahoma" w:cs="Tahoma"/>
          <w:sz w:val="24"/>
          <w:szCs w:val="24"/>
          <w:lang w:val="en-US"/>
        </w:rPr>
        <w:t>government</w:t>
      </w:r>
      <w:r w:rsidRPr="00E43EDA">
        <w:rPr>
          <w:rFonts w:ascii="Tahoma" w:hAnsi="Tahoma" w:cs="Tahoma"/>
          <w:sz w:val="24"/>
          <w:szCs w:val="24"/>
          <w:lang w:val="en-US"/>
        </w:rPr>
        <w:t xml:space="preserve"> stood at odds with the provisions of the Act of 19 December 1974, which is based upon the constitutional freedom of association.</w:t>
      </w:r>
      <w:r w:rsidR="009879A8">
        <w:rPr>
          <w:rFonts w:ascii="Tahoma" w:hAnsi="Tahoma" w:cs="Tahoma"/>
          <w:sz w:val="24"/>
          <w:szCs w:val="24"/>
          <w:lang w:val="en-US"/>
        </w:rPr>
        <w:t xml:space="preserve"> Procedural reasons may be the evident explanation </w:t>
      </w:r>
      <w:r w:rsidR="00385915">
        <w:rPr>
          <w:rFonts w:ascii="Tahoma" w:hAnsi="Tahoma" w:cs="Tahoma"/>
          <w:sz w:val="24"/>
          <w:szCs w:val="24"/>
          <w:lang w:val="en-US"/>
        </w:rPr>
        <w:t>here fore</w:t>
      </w:r>
      <w:r w:rsidR="009879A8">
        <w:rPr>
          <w:rFonts w:ascii="Tahoma" w:hAnsi="Tahoma" w:cs="Tahoma"/>
          <w:sz w:val="24"/>
          <w:szCs w:val="24"/>
          <w:lang w:val="en-US"/>
        </w:rPr>
        <w:t>.</w:t>
      </w:r>
      <w:r w:rsidRPr="00E43EDA">
        <w:rPr>
          <w:rFonts w:ascii="Tahoma" w:hAnsi="Tahoma" w:cs="Tahoma"/>
          <w:sz w:val="24"/>
          <w:szCs w:val="24"/>
          <w:lang w:val="en-US"/>
        </w:rPr>
        <w:t xml:space="preserve"> </w:t>
      </w:r>
    </w:p>
    <w:p w:rsidR="009879A8" w:rsidRDefault="008E458F" w:rsidP="000548EF">
      <w:pPr>
        <w:jc w:val="both"/>
        <w:rPr>
          <w:rFonts w:ascii="Tahoma" w:hAnsi="Tahoma" w:cs="Tahoma"/>
          <w:sz w:val="24"/>
          <w:szCs w:val="24"/>
          <w:lang w:val="en-US"/>
        </w:rPr>
      </w:pPr>
      <w:r w:rsidRPr="00E43EDA">
        <w:rPr>
          <w:rFonts w:ascii="Tahoma" w:hAnsi="Tahoma" w:cs="Tahoma"/>
          <w:sz w:val="24"/>
          <w:szCs w:val="24"/>
          <w:lang w:val="en-US"/>
        </w:rPr>
        <w:t xml:space="preserve">The Constitutional Court had to deal with queries of equality and the arbitrary character of the modification of the pension age. </w:t>
      </w:r>
      <w:r w:rsidR="009879A8">
        <w:rPr>
          <w:rFonts w:ascii="Tahoma" w:hAnsi="Tahoma" w:cs="Tahoma"/>
          <w:sz w:val="24"/>
          <w:szCs w:val="24"/>
          <w:lang w:val="en-US"/>
        </w:rPr>
        <w:t>It</w:t>
      </w:r>
      <w:r w:rsidRPr="00E43EDA">
        <w:rPr>
          <w:rFonts w:ascii="Tahoma" w:hAnsi="Tahoma" w:cs="Tahoma"/>
          <w:sz w:val="24"/>
          <w:szCs w:val="24"/>
          <w:lang w:val="en-US"/>
        </w:rPr>
        <w:t xml:space="preserve"> dismissed the requests in two separate decisions</w:t>
      </w:r>
      <w:r w:rsidR="00CE6E7F" w:rsidRPr="00E43EDA">
        <w:rPr>
          <w:rFonts w:ascii="Tahoma" w:hAnsi="Tahoma" w:cs="Tahoma"/>
          <w:sz w:val="24"/>
          <w:szCs w:val="24"/>
          <w:lang w:val="en-US"/>
        </w:rPr>
        <w:t xml:space="preserve"> where it did not deal with the content of the reform. </w:t>
      </w:r>
    </w:p>
    <w:p w:rsidR="008E458F" w:rsidRPr="00E43EDA" w:rsidRDefault="00CE6E7F" w:rsidP="000548EF">
      <w:pPr>
        <w:jc w:val="both"/>
        <w:rPr>
          <w:rFonts w:ascii="Tahoma" w:hAnsi="Tahoma" w:cs="Tahoma"/>
          <w:sz w:val="24"/>
          <w:szCs w:val="24"/>
          <w:lang w:val="en-US"/>
        </w:rPr>
      </w:pPr>
      <w:r w:rsidRPr="00E43EDA">
        <w:rPr>
          <w:rFonts w:ascii="Tahoma" w:hAnsi="Tahoma" w:cs="Tahoma"/>
          <w:sz w:val="24"/>
          <w:szCs w:val="24"/>
          <w:lang w:val="en-US"/>
        </w:rPr>
        <w:t xml:space="preserve">In the first decision, the Court considered that the modification of the pension regulation did not violate the principle of equality. Parliament has the power to </w:t>
      </w:r>
      <w:r w:rsidR="00511C8B" w:rsidRPr="00E43EDA">
        <w:rPr>
          <w:rFonts w:ascii="Tahoma" w:hAnsi="Tahoma" w:cs="Tahoma"/>
          <w:sz w:val="24"/>
          <w:szCs w:val="24"/>
          <w:lang w:val="en-US"/>
        </w:rPr>
        <w:t>modify</w:t>
      </w:r>
      <w:r w:rsidRPr="00E43EDA">
        <w:rPr>
          <w:rFonts w:ascii="Tahoma" w:hAnsi="Tahoma" w:cs="Tahoma"/>
          <w:sz w:val="24"/>
          <w:szCs w:val="24"/>
          <w:lang w:val="en-US"/>
        </w:rPr>
        <w:t xml:space="preserve"> the pension age and and the calculation method whenever it considers it necessary for economical and social security reasons. The Constitutional Court refuse</w:t>
      </w:r>
      <w:r w:rsidR="00656EF0" w:rsidRPr="00E43EDA">
        <w:rPr>
          <w:rFonts w:ascii="Tahoma" w:hAnsi="Tahoma" w:cs="Tahoma"/>
          <w:sz w:val="24"/>
          <w:szCs w:val="24"/>
          <w:lang w:val="en-US"/>
        </w:rPr>
        <w:t>d</w:t>
      </w:r>
      <w:r w:rsidRPr="00E43EDA">
        <w:rPr>
          <w:rFonts w:ascii="Tahoma" w:hAnsi="Tahoma" w:cs="Tahoma"/>
          <w:sz w:val="24"/>
          <w:szCs w:val="24"/>
          <w:lang w:val="en-US"/>
        </w:rPr>
        <w:t xml:space="preserve"> to put </w:t>
      </w:r>
      <w:r w:rsidR="00511C8B" w:rsidRPr="00E43EDA">
        <w:rPr>
          <w:rFonts w:ascii="Tahoma" w:hAnsi="Tahoma" w:cs="Tahoma"/>
          <w:sz w:val="24"/>
          <w:szCs w:val="24"/>
          <w:lang w:val="en-US"/>
        </w:rPr>
        <w:t>itself</w:t>
      </w:r>
      <w:r w:rsidRPr="00E43EDA">
        <w:rPr>
          <w:rFonts w:ascii="Tahoma" w:hAnsi="Tahoma" w:cs="Tahoma"/>
          <w:sz w:val="24"/>
          <w:szCs w:val="24"/>
          <w:lang w:val="en-US"/>
        </w:rPr>
        <w:t xml:space="preserve"> in the chair of the Parliament.</w:t>
      </w:r>
      <w:r w:rsidRPr="00E43EDA">
        <w:rPr>
          <w:rStyle w:val="FootnoteReference"/>
          <w:rFonts w:ascii="Tahoma" w:hAnsi="Tahoma" w:cs="Tahoma"/>
          <w:sz w:val="24"/>
          <w:szCs w:val="24"/>
          <w:lang w:val="en-US"/>
        </w:rPr>
        <w:footnoteReference w:id="31"/>
      </w:r>
      <w:r w:rsidRPr="00E43EDA">
        <w:rPr>
          <w:rFonts w:ascii="Tahoma" w:hAnsi="Tahoma" w:cs="Tahoma"/>
          <w:sz w:val="24"/>
          <w:szCs w:val="24"/>
          <w:lang w:val="en-US"/>
        </w:rPr>
        <w:t xml:space="preserve">  </w:t>
      </w:r>
    </w:p>
    <w:p w:rsidR="00656EF0" w:rsidRPr="00E43EDA" w:rsidRDefault="00656EF0" w:rsidP="000548EF">
      <w:pPr>
        <w:jc w:val="both"/>
        <w:rPr>
          <w:rFonts w:ascii="Tahoma" w:hAnsi="Tahoma" w:cs="Tahoma"/>
          <w:sz w:val="24"/>
          <w:szCs w:val="24"/>
          <w:lang w:val="en-US"/>
        </w:rPr>
      </w:pPr>
      <w:r w:rsidRPr="00E43EDA">
        <w:rPr>
          <w:rFonts w:ascii="Tahoma" w:hAnsi="Tahoma" w:cs="Tahoma"/>
          <w:sz w:val="24"/>
          <w:szCs w:val="24"/>
          <w:lang w:val="en-US"/>
        </w:rPr>
        <w:t>In th</w:t>
      </w:r>
      <w:r w:rsidR="00230324" w:rsidRPr="00E43EDA">
        <w:rPr>
          <w:rFonts w:ascii="Tahoma" w:hAnsi="Tahoma" w:cs="Tahoma"/>
          <w:sz w:val="24"/>
          <w:szCs w:val="24"/>
          <w:lang w:val="en-US"/>
        </w:rPr>
        <w:t xml:space="preserve">e second decision, Belgian Parliament used a corrective trick by </w:t>
      </w:r>
      <w:r w:rsidR="00511C8B" w:rsidRPr="00E43EDA">
        <w:rPr>
          <w:rFonts w:ascii="Tahoma" w:hAnsi="Tahoma" w:cs="Tahoma"/>
          <w:sz w:val="24"/>
          <w:szCs w:val="24"/>
          <w:lang w:val="en-US"/>
        </w:rPr>
        <w:t>modifying</w:t>
      </w:r>
      <w:r w:rsidR="00230324" w:rsidRPr="00E43EDA">
        <w:rPr>
          <w:rFonts w:ascii="Tahoma" w:hAnsi="Tahoma" w:cs="Tahoma"/>
          <w:sz w:val="24"/>
          <w:szCs w:val="24"/>
          <w:lang w:val="en-US"/>
        </w:rPr>
        <w:t xml:space="preserve"> some specific provisions in the Act of 28 December 2011 concerning preferential regulations. Due to this modification, the </w:t>
      </w:r>
      <w:r w:rsidR="00511C8B" w:rsidRPr="00E43EDA">
        <w:rPr>
          <w:rFonts w:ascii="Tahoma" w:hAnsi="Tahoma" w:cs="Tahoma"/>
          <w:sz w:val="24"/>
          <w:szCs w:val="24"/>
          <w:lang w:val="en-US"/>
        </w:rPr>
        <w:t>original</w:t>
      </w:r>
      <w:r w:rsidR="00230324" w:rsidRPr="00E43EDA">
        <w:rPr>
          <w:rFonts w:ascii="Tahoma" w:hAnsi="Tahoma" w:cs="Tahoma"/>
          <w:sz w:val="24"/>
          <w:szCs w:val="24"/>
          <w:lang w:val="en-US"/>
        </w:rPr>
        <w:t xml:space="preserve"> request has become void.</w:t>
      </w:r>
      <w:r w:rsidR="00230324" w:rsidRPr="00E43EDA">
        <w:rPr>
          <w:rStyle w:val="FootnoteReference"/>
          <w:rFonts w:ascii="Tahoma" w:hAnsi="Tahoma" w:cs="Tahoma"/>
          <w:sz w:val="24"/>
          <w:szCs w:val="24"/>
          <w:lang w:val="en-US"/>
        </w:rPr>
        <w:footnoteReference w:id="32"/>
      </w:r>
      <w:r w:rsidR="00230324" w:rsidRPr="00E43EDA">
        <w:rPr>
          <w:rFonts w:ascii="Tahoma" w:hAnsi="Tahoma" w:cs="Tahoma"/>
          <w:sz w:val="24"/>
          <w:szCs w:val="24"/>
          <w:lang w:val="en-US"/>
        </w:rPr>
        <w:t xml:space="preserve"> </w:t>
      </w:r>
    </w:p>
    <w:p w:rsidR="00574247" w:rsidRPr="00E43EDA" w:rsidRDefault="009879A8" w:rsidP="000548EF">
      <w:pPr>
        <w:jc w:val="both"/>
        <w:rPr>
          <w:rFonts w:ascii="Tahoma" w:hAnsi="Tahoma" w:cs="Tahoma"/>
          <w:sz w:val="24"/>
          <w:szCs w:val="24"/>
          <w:lang w:val="en-US"/>
        </w:rPr>
      </w:pPr>
      <w:r>
        <w:rPr>
          <w:rFonts w:ascii="Tahoma" w:hAnsi="Tahoma" w:cs="Tahoma"/>
          <w:sz w:val="24"/>
          <w:szCs w:val="24"/>
          <w:lang w:val="en-US"/>
        </w:rPr>
        <w:t xml:space="preserve">It remains bizarre that the action of Belgian government to avoid </w:t>
      </w:r>
      <w:proofErr w:type="gramStart"/>
      <w:r>
        <w:rPr>
          <w:rFonts w:ascii="Tahoma" w:hAnsi="Tahoma" w:cs="Tahoma"/>
          <w:sz w:val="24"/>
          <w:szCs w:val="24"/>
          <w:lang w:val="en-US"/>
        </w:rPr>
        <w:t>to apply</w:t>
      </w:r>
      <w:proofErr w:type="gramEnd"/>
      <w:r>
        <w:rPr>
          <w:rFonts w:ascii="Tahoma" w:hAnsi="Tahoma" w:cs="Tahoma"/>
          <w:sz w:val="24"/>
          <w:szCs w:val="24"/>
          <w:lang w:val="en-US"/>
        </w:rPr>
        <w:t xml:space="preserve"> the Act of 19 December 1974 properly was not envisaged. </w:t>
      </w:r>
      <w:r w:rsidR="00230324" w:rsidRPr="00E43EDA">
        <w:rPr>
          <w:rFonts w:ascii="Tahoma" w:hAnsi="Tahoma" w:cs="Tahoma"/>
          <w:sz w:val="24"/>
          <w:szCs w:val="24"/>
          <w:lang w:val="en-US"/>
        </w:rPr>
        <w:t xml:space="preserve">As said, the Belgian government has used a trick (by introducing the modifications by amendment) to avoid the mandatory negotiations. However, one could have tried to check whether this action was conform </w:t>
      </w:r>
      <w:proofErr w:type="gramStart"/>
      <w:r w:rsidR="00230324" w:rsidRPr="00E43EDA">
        <w:rPr>
          <w:rFonts w:ascii="Tahoma" w:hAnsi="Tahoma" w:cs="Tahoma"/>
          <w:sz w:val="24"/>
          <w:szCs w:val="24"/>
          <w:lang w:val="en-US"/>
        </w:rPr>
        <w:t>with</w:t>
      </w:r>
      <w:proofErr w:type="gramEnd"/>
      <w:r w:rsidR="00230324" w:rsidRPr="00E43EDA">
        <w:rPr>
          <w:rFonts w:ascii="Tahoma" w:hAnsi="Tahoma" w:cs="Tahoma"/>
          <w:sz w:val="24"/>
          <w:szCs w:val="24"/>
          <w:lang w:val="en-US"/>
        </w:rPr>
        <w:t xml:space="preserve"> article </w:t>
      </w:r>
      <w:r w:rsidR="00574247" w:rsidRPr="00E43EDA">
        <w:rPr>
          <w:rFonts w:ascii="Tahoma" w:hAnsi="Tahoma" w:cs="Tahoma"/>
          <w:sz w:val="24"/>
          <w:szCs w:val="24"/>
          <w:lang w:val="en-US"/>
        </w:rPr>
        <w:t xml:space="preserve">27 </w:t>
      </w:r>
      <w:r w:rsidR="009A7FA0" w:rsidRPr="00E43EDA">
        <w:rPr>
          <w:rFonts w:ascii="Tahoma" w:hAnsi="Tahoma" w:cs="Tahoma"/>
          <w:sz w:val="24"/>
          <w:szCs w:val="24"/>
          <w:lang w:val="en-US"/>
        </w:rPr>
        <w:t xml:space="preserve">of the Constitution </w:t>
      </w:r>
      <w:r w:rsidR="00574247" w:rsidRPr="00E43EDA">
        <w:rPr>
          <w:rFonts w:ascii="Tahoma" w:hAnsi="Tahoma" w:cs="Tahoma"/>
          <w:sz w:val="24"/>
          <w:szCs w:val="24"/>
          <w:lang w:val="en-US"/>
        </w:rPr>
        <w:t xml:space="preserve">which founds the freedom of association. </w:t>
      </w:r>
      <w:r w:rsidR="009A7FA0" w:rsidRPr="00E43EDA">
        <w:rPr>
          <w:rFonts w:ascii="Tahoma" w:hAnsi="Tahoma" w:cs="Tahoma"/>
          <w:sz w:val="24"/>
          <w:szCs w:val="24"/>
          <w:lang w:val="en-US"/>
        </w:rPr>
        <w:t xml:space="preserve">The article could be linked with the principle of legitimate expectations. </w:t>
      </w:r>
      <w:r>
        <w:rPr>
          <w:rFonts w:ascii="Tahoma" w:hAnsi="Tahoma" w:cs="Tahoma"/>
          <w:sz w:val="24"/>
          <w:szCs w:val="24"/>
          <w:lang w:val="en-US"/>
        </w:rPr>
        <w:lastRenderedPageBreak/>
        <w:t xml:space="preserve">Article 27 of the Belgian </w:t>
      </w:r>
      <w:r w:rsidR="00385915">
        <w:rPr>
          <w:rFonts w:ascii="Tahoma" w:hAnsi="Tahoma" w:cs="Tahoma"/>
          <w:sz w:val="24"/>
          <w:szCs w:val="24"/>
          <w:lang w:val="en-US"/>
        </w:rPr>
        <w:t>Constitution</w:t>
      </w:r>
      <w:r>
        <w:rPr>
          <w:rFonts w:ascii="Tahoma" w:hAnsi="Tahoma" w:cs="Tahoma"/>
          <w:sz w:val="24"/>
          <w:szCs w:val="24"/>
          <w:lang w:val="en-US"/>
        </w:rPr>
        <w:t xml:space="preserve"> c</w:t>
      </w:r>
      <w:r w:rsidR="00574247" w:rsidRPr="00E43EDA">
        <w:rPr>
          <w:rFonts w:ascii="Tahoma" w:hAnsi="Tahoma" w:cs="Tahoma"/>
          <w:sz w:val="24"/>
          <w:szCs w:val="24"/>
          <w:lang w:val="en-US"/>
        </w:rPr>
        <w:t xml:space="preserve">ould </w:t>
      </w:r>
      <w:r>
        <w:rPr>
          <w:rFonts w:ascii="Tahoma" w:hAnsi="Tahoma" w:cs="Tahoma"/>
          <w:sz w:val="24"/>
          <w:szCs w:val="24"/>
          <w:lang w:val="en-US"/>
        </w:rPr>
        <w:t xml:space="preserve">also </w:t>
      </w:r>
      <w:r w:rsidR="00574247" w:rsidRPr="00E43EDA">
        <w:rPr>
          <w:rFonts w:ascii="Tahoma" w:hAnsi="Tahoma" w:cs="Tahoma"/>
          <w:sz w:val="24"/>
          <w:szCs w:val="24"/>
          <w:lang w:val="en-US"/>
        </w:rPr>
        <w:t xml:space="preserve">be linked to the case law of the European Court of Human Rights with regard to the application of article 11 of the European Convention of Human Rights. In the </w:t>
      </w:r>
      <w:r w:rsidR="00574247" w:rsidRPr="009879A8">
        <w:rPr>
          <w:rFonts w:ascii="Tahoma" w:hAnsi="Tahoma" w:cs="Tahoma"/>
          <w:i/>
          <w:sz w:val="24"/>
          <w:szCs w:val="24"/>
          <w:lang w:val="en-US"/>
        </w:rPr>
        <w:t>Demir and Baykara v. Turkey</w:t>
      </w:r>
      <w:r w:rsidR="00574247" w:rsidRPr="00E43EDA">
        <w:rPr>
          <w:rFonts w:ascii="Tahoma" w:hAnsi="Tahoma" w:cs="Tahoma"/>
          <w:sz w:val="24"/>
          <w:szCs w:val="24"/>
          <w:lang w:val="en-US"/>
        </w:rPr>
        <w:t xml:space="preserve"> case, the European Court of Human Rights explicitly stated the following:</w:t>
      </w:r>
    </w:p>
    <w:p w:rsidR="00230324" w:rsidRPr="00E43EDA" w:rsidRDefault="00574247" w:rsidP="000548EF">
      <w:pPr>
        <w:jc w:val="both"/>
        <w:rPr>
          <w:rStyle w:val="sb8d990e2"/>
          <w:rFonts w:ascii="Tahoma" w:hAnsi="Tahoma" w:cs="Tahoma"/>
          <w:i/>
          <w:sz w:val="24"/>
          <w:szCs w:val="24"/>
          <w:lang w:val="en-US"/>
        </w:rPr>
      </w:pPr>
      <w:r w:rsidRPr="00E43EDA">
        <w:rPr>
          <w:rFonts w:ascii="Tahoma" w:hAnsi="Tahoma" w:cs="Tahoma"/>
          <w:sz w:val="24"/>
          <w:szCs w:val="24"/>
          <w:lang w:val="en-US"/>
        </w:rPr>
        <w:t>“</w:t>
      </w:r>
      <w:r w:rsidRPr="00E43EDA">
        <w:rPr>
          <w:rStyle w:val="sb8d990e2"/>
          <w:rFonts w:ascii="Tahoma" w:hAnsi="Tahoma" w:cs="Tahoma"/>
          <w:i/>
          <w:sz w:val="24"/>
          <w:szCs w:val="24"/>
          <w:lang w:val="en-US"/>
        </w:rPr>
        <w:t>As to the practice of European States, it can be observed that, in the vast majority of them, the right for public servants to bargain collectively with the authorities has been recognised, subject to various exceptions so as to exclude certain areas (disciplinary procedures, pensions, medical insurance, wages of senior civil servants) or certain categories of civil servants who hold exclusive powers of the State (members of the armed forces and of the police, judges, diplomats, career civil servants at federal level). The right of public servants working for local authorities and not holding State powers to engage in collective bargaining in order to determine their wages and working conditions has been recognised in the vast majority of Contracting States. The remaining exceptions can be justified by particular circumstances.”</w:t>
      </w:r>
      <w:r w:rsidRPr="00E43EDA">
        <w:rPr>
          <w:rStyle w:val="FootnoteReference"/>
          <w:rFonts w:ascii="Tahoma" w:hAnsi="Tahoma" w:cs="Tahoma"/>
          <w:i/>
          <w:sz w:val="24"/>
          <w:szCs w:val="24"/>
        </w:rPr>
        <w:footnoteReference w:id="33"/>
      </w:r>
    </w:p>
    <w:p w:rsidR="009879A8" w:rsidRDefault="00574247" w:rsidP="000548EF">
      <w:pPr>
        <w:jc w:val="both"/>
        <w:rPr>
          <w:rStyle w:val="sb8d990e2"/>
          <w:rFonts w:ascii="Tahoma" w:hAnsi="Tahoma" w:cs="Tahoma"/>
          <w:sz w:val="24"/>
          <w:szCs w:val="24"/>
          <w:lang w:val="en-US"/>
        </w:rPr>
      </w:pPr>
      <w:r w:rsidRPr="00E43EDA">
        <w:rPr>
          <w:rStyle w:val="sb8d990e2"/>
          <w:rFonts w:ascii="Tahoma" w:hAnsi="Tahoma" w:cs="Tahoma"/>
          <w:sz w:val="24"/>
          <w:szCs w:val="24"/>
          <w:lang w:val="en-US"/>
        </w:rPr>
        <w:t xml:space="preserve">The Belgian </w:t>
      </w:r>
      <w:r w:rsidR="00511C8B" w:rsidRPr="00E43EDA">
        <w:rPr>
          <w:rStyle w:val="sb8d990e2"/>
          <w:rFonts w:ascii="Tahoma" w:hAnsi="Tahoma" w:cs="Tahoma"/>
          <w:sz w:val="24"/>
          <w:szCs w:val="24"/>
          <w:lang w:val="en-US"/>
        </w:rPr>
        <w:t>government</w:t>
      </w:r>
      <w:r w:rsidRPr="00E43EDA">
        <w:rPr>
          <w:rStyle w:val="sb8d990e2"/>
          <w:rFonts w:ascii="Tahoma" w:hAnsi="Tahoma" w:cs="Tahoma"/>
          <w:sz w:val="24"/>
          <w:szCs w:val="24"/>
          <w:lang w:val="en-US"/>
        </w:rPr>
        <w:t xml:space="preserve"> has </w:t>
      </w:r>
      <w:r w:rsidR="009879A8">
        <w:rPr>
          <w:rStyle w:val="sb8d990e2"/>
          <w:rFonts w:ascii="Tahoma" w:hAnsi="Tahoma" w:cs="Tahoma"/>
          <w:sz w:val="24"/>
          <w:szCs w:val="24"/>
          <w:lang w:val="en-US"/>
        </w:rPr>
        <w:t xml:space="preserve">to indicate specifically why the obligations to enter into </w:t>
      </w:r>
      <w:r w:rsidR="001A2046" w:rsidRPr="00E43EDA">
        <w:rPr>
          <w:rStyle w:val="sb8d990e2"/>
          <w:rFonts w:ascii="Tahoma" w:hAnsi="Tahoma" w:cs="Tahoma"/>
          <w:sz w:val="24"/>
          <w:szCs w:val="24"/>
          <w:lang w:val="en-US"/>
        </w:rPr>
        <w:t xml:space="preserve">formal collective negotiations, as </w:t>
      </w:r>
      <w:r w:rsidR="009879A8">
        <w:rPr>
          <w:rStyle w:val="sb8d990e2"/>
          <w:rFonts w:ascii="Tahoma" w:hAnsi="Tahoma" w:cs="Tahoma"/>
          <w:sz w:val="24"/>
          <w:szCs w:val="24"/>
          <w:lang w:val="en-US"/>
        </w:rPr>
        <w:t>provided by</w:t>
      </w:r>
      <w:r w:rsidR="001A2046" w:rsidRPr="00E43EDA">
        <w:rPr>
          <w:rStyle w:val="sb8d990e2"/>
          <w:rFonts w:ascii="Tahoma" w:hAnsi="Tahoma" w:cs="Tahoma"/>
          <w:sz w:val="24"/>
          <w:szCs w:val="24"/>
          <w:lang w:val="en-US"/>
        </w:rPr>
        <w:t xml:space="preserve"> the Act of 19 December 1974</w:t>
      </w:r>
      <w:r w:rsidR="009879A8">
        <w:rPr>
          <w:rStyle w:val="sb8d990e2"/>
          <w:rFonts w:ascii="Tahoma" w:hAnsi="Tahoma" w:cs="Tahoma"/>
          <w:sz w:val="24"/>
          <w:szCs w:val="24"/>
          <w:lang w:val="en-US"/>
        </w:rPr>
        <w:t>, were not respected.</w:t>
      </w:r>
      <w:r w:rsidR="005920FF" w:rsidRPr="00E43EDA">
        <w:rPr>
          <w:rStyle w:val="sb8d990e2"/>
          <w:rFonts w:ascii="Tahoma" w:hAnsi="Tahoma" w:cs="Tahoma"/>
          <w:sz w:val="24"/>
          <w:szCs w:val="24"/>
          <w:lang w:val="en-US"/>
        </w:rPr>
        <w:t xml:space="preserve"> </w:t>
      </w:r>
      <w:r w:rsidR="009879A8">
        <w:rPr>
          <w:rStyle w:val="sb8d990e2"/>
          <w:rFonts w:ascii="Tahoma" w:hAnsi="Tahoma" w:cs="Tahoma"/>
          <w:sz w:val="24"/>
          <w:szCs w:val="24"/>
          <w:lang w:val="en-US"/>
        </w:rPr>
        <w:t xml:space="preserve">Furthermore, there exists </w:t>
      </w:r>
      <w:r w:rsidR="005920FF" w:rsidRPr="00E43EDA">
        <w:rPr>
          <w:rStyle w:val="sb8d990e2"/>
          <w:rFonts w:ascii="Tahoma" w:hAnsi="Tahoma" w:cs="Tahoma"/>
          <w:sz w:val="24"/>
          <w:szCs w:val="24"/>
          <w:lang w:val="en-US"/>
        </w:rPr>
        <w:t xml:space="preserve">a </w:t>
      </w:r>
      <w:proofErr w:type="gramStart"/>
      <w:r w:rsidR="005920FF" w:rsidRPr="00E43EDA">
        <w:rPr>
          <w:rStyle w:val="sb8d990e2"/>
          <w:rFonts w:ascii="Tahoma" w:hAnsi="Tahoma" w:cs="Tahoma"/>
          <w:sz w:val="24"/>
          <w:szCs w:val="24"/>
          <w:lang w:val="en-US"/>
        </w:rPr>
        <w:t>commitment which</w:t>
      </w:r>
      <w:proofErr w:type="gramEnd"/>
      <w:r w:rsidR="005920FF" w:rsidRPr="00E43EDA">
        <w:rPr>
          <w:rStyle w:val="sb8d990e2"/>
          <w:rFonts w:ascii="Tahoma" w:hAnsi="Tahoma" w:cs="Tahoma"/>
          <w:sz w:val="24"/>
          <w:szCs w:val="24"/>
          <w:lang w:val="en-US"/>
        </w:rPr>
        <w:t xml:space="preserve"> has been taken by the Belgian authorities in article 6 of the European Social Charter. </w:t>
      </w:r>
    </w:p>
    <w:p w:rsidR="00574247" w:rsidRPr="00E43EDA" w:rsidRDefault="009879A8" w:rsidP="000548EF">
      <w:pPr>
        <w:jc w:val="both"/>
        <w:rPr>
          <w:rFonts w:ascii="Tahoma" w:hAnsi="Tahoma" w:cs="Tahoma"/>
          <w:sz w:val="24"/>
          <w:szCs w:val="24"/>
          <w:lang w:val="en-US"/>
        </w:rPr>
      </w:pPr>
      <w:r>
        <w:rPr>
          <w:rStyle w:val="sb8d990e2"/>
          <w:rFonts w:ascii="Tahoma" w:hAnsi="Tahoma" w:cs="Tahoma"/>
          <w:sz w:val="24"/>
          <w:szCs w:val="24"/>
          <w:lang w:val="en-US"/>
        </w:rPr>
        <w:t>P</w:t>
      </w:r>
      <w:r w:rsidR="00511C8B" w:rsidRPr="00E43EDA">
        <w:rPr>
          <w:rStyle w:val="sb8d990e2"/>
          <w:rFonts w:ascii="Tahoma" w:hAnsi="Tahoma" w:cs="Tahoma"/>
          <w:sz w:val="24"/>
          <w:szCs w:val="24"/>
          <w:lang w:val="en-US"/>
        </w:rPr>
        <w:t>arliamentary</w:t>
      </w:r>
      <w:r w:rsidR="005920FF" w:rsidRPr="00E43EDA">
        <w:rPr>
          <w:rStyle w:val="sb8d990e2"/>
          <w:rFonts w:ascii="Tahoma" w:hAnsi="Tahoma" w:cs="Tahoma"/>
          <w:sz w:val="24"/>
          <w:szCs w:val="24"/>
          <w:lang w:val="en-US"/>
        </w:rPr>
        <w:t xml:space="preserve"> documents indicate that the Minister had contacted the trade union</w:t>
      </w:r>
      <w:r w:rsidR="009A7FA0" w:rsidRPr="00E43EDA">
        <w:rPr>
          <w:rStyle w:val="sb8d990e2"/>
          <w:rFonts w:ascii="Tahoma" w:hAnsi="Tahoma" w:cs="Tahoma"/>
          <w:sz w:val="24"/>
          <w:szCs w:val="24"/>
          <w:lang w:val="en-US"/>
        </w:rPr>
        <w:t xml:space="preserve">s once the texts were ready. He organised </w:t>
      </w:r>
      <w:r>
        <w:rPr>
          <w:rStyle w:val="sb8d990e2"/>
          <w:rFonts w:ascii="Tahoma" w:hAnsi="Tahoma" w:cs="Tahoma"/>
          <w:sz w:val="24"/>
          <w:szCs w:val="24"/>
          <w:lang w:val="en-US"/>
        </w:rPr>
        <w:t xml:space="preserve">some </w:t>
      </w:r>
      <w:r w:rsidR="00511C8B" w:rsidRPr="00E43EDA">
        <w:rPr>
          <w:rStyle w:val="sb8d990e2"/>
          <w:rFonts w:ascii="Tahoma" w:hAnsi="Tahoma" w:cs="Tahoma"/>
          <w:sz w:val="24"/>
          <w:szCs w:val="24"/>
          <w:lang w:val="en-US"/>
        </w:rPr>
        <w:t>negotiations</w:t>
      </w:r>
      <w:r w:rsidR="005920FF" w:rsidRPr="00E43EDA">
        <w:rPr>
          <w:rStyle w:val="sb8d990e2"/>
          <w:rFonts w:ascii="Tahoma" w:hAnsi="Tahoma" w:cs="Tahoma"/>
          <w:sz w:val="24"/>
          <w:szCs w:val="24"/>
          <w:lang w:val="en-US"/>
        </w:rPr>
        <w:t xml:space="preserve"> indicating that the texts c</w:t>
      </w:r>
      <w:r w:rsidR="009A7FA0" w:rsidRPr="00E43EDA">
        <w:rPr>
          <w:rStyle w:val="sb8d990e2"/>
          <w:rFonts w:ascii="Tahoma" w:hAnsi="Tahoma" w:cs="Tahoma"/>
          <w:sz w:val="24"/>
          <w:szCs w:val="24"/>
          <w:lang w:val="en-US"/>
        </w:rPr>
        <w:t>o</w:t>
      </w:r>
      <w:r w:rsidR="005920FF" w:rsidRPr="00E43EDA">
        <w:rPr>
          <w:rStyle w:val="sb8d990e2"/>
          <w:rFonts w:ascii="Tahoma" w:hAnsi="Tahoma" w:cs="Tahoma"/>
          <w:sz w:val="24"/>
          <w:szCs w:val="24"/>
          <w:lang w:val="en-US"/>
        </w:rPr>
        <w:t xml:space="preserve">uld not be modified anymore. </w:t>
      </w:r>
      <w:r w:rsidR="009A7FA0" w:rsidRPr="00E43EDA">
        <w:rPr>
          <w:rStyle w:val="sb8d990e2"/>
          <w:rFonts w:ascii="Tahoma" w:hAnsi="Tahoma" w:cs="Tahoma"/>
          <w:sz w:val="24"/>
          <w:szCs w:val="24"/>
          <w:lang w:val="en-US"/>
        </w:rPr>
        <w:t>However, this has to be done (when i</w:t>
      </w:r>
      <w:r>
        <w:rPr>
          <w:rStyle w:val="sb8d990e2"/>
          <w:rFonts w:ascii="Tahoma" w:hAnsi="Tahoma" w:cs="Tahoma"/>
          <w:sz w:val="24"/>
          <w:szCs w:val="24"/>
          <w:lang w:val="en-US"/>
        </w:rPr>
        <w:t>t is a governmental initiative)</w:t>
      </w:r>
      <w:r w:rsidR="009A7FA0" w:rsidRPr="00E43EDA">
        <w:rPr>
          <w:rStyle w:val="sb8d990e2"/>
          <w:rFonts w:ascii="Tahoma" w:hAnsi="Tahoma" w:cs="Tahoma"/>
          <w:sz w:val="24"/>
          <w:szCs w:val="24"/>
          <w:lang w:val="en-US"/>
        </w:rPr>
        <w:t xml:space="preserve"> before the initiat</w:t>
      </w:r>
      <w:r>
        <w:rPr>
          <w:rStyle w:val="sb8d990e2"/>
          <w:rFonts w:ascii="Tahoma" w:hAnsi="Tahoma" w:cs="Tahoma"/>
          <w:sz w:val="24"/>
          <w:szCs w:val="24"/>
          <w:lang w:val="en-US"/>
        </w:rPr>
        <w:t>ive is initiated in Parliament in order to organise a material collective bargaining procedure. T</w:t>
      </w:r>
      <w:r w:rsidR="009A7FA0" w:rsidRPr="00E43EDA">
        <w:rPr>
          <w:rStyle w:val="sb8d990e2"/>
          <w:rFonts w:ascii="Tahoma" w:hAnsi="Tahoma" w:cs="Tahoma"/>
          <w:sz w:val="24"/>
          <w:szCs w:val="24"/>
          <w:lang w:val="en-US"/>
        </w:rPr>
        <w:t>he Minister stressed</w:t>
      </w:r>
      <w:r w:rsidR="005920FF" w:rsidRPr="00E43EDA">
        <w:rPr>
          <w:rStyle w:val="sb8d990e2"/>
          <w:rFonts w:ascii="Tahoma" w:hAnsi="Tahoma" w:cs="Tahoma"/>
          <w:sz w:val="24"/>
          <w:szCs w:val="24"/>
          <w:lang w:val="en-US"/>
        </w:rPr>
        <w:t xml:space="preserve"> the sense of urgency and defends therefore his choice to avoid preliminary negotiations. He indicates that the specific economic circumstances justify his behaviour.</w:t>
      </w:r>
      <w:r w:rsidR="005920FF" w:rsidRPr="00E43EDA">
        <w:rPr>
          <w:rStyle w:val="FootnoteReference"/>
          <w:rFonts w:ascii="Tahoma" w:hAnsi="Tahoma" w:cs="Tahoma"/>
          <w:sz w:val="24"/>
          <w:szCs w:val="24"/>
          <w:lang w:val="en-US"/>
        </w:rPr>
        <w:footnoteReference w:id="34"/>
      </w:r>
      <w:r w:rsidR="005920FF" w:rsidRPr="00E43EDA">
        <w:rPr>
          <w:rStyle w:val="sb8d990e2"/>
          <w:rFonts w:ascii="Tahoma" w:hAnsi="Tahoma" w:cs="Tahoma"/>
          <w:sz w:val="24"/>
          <w:szCs w:val="24"/>
          <w:lang w:val="en-US"/>
        </w:rPr>
        <w:t xml:space="preserve">  </w:t>
      </w:r>
    </w:p>
    <w:p w:rsidR="009A7FA0" w:rsidRPr="00E43EDA" w:rsidRDefault="005920FF" w:rsidP="000548EF">
      <w:pPr>
        <w:jc w:val="both"/>
        <w:rPr>
          <w:rFonts w:ascii="Tahoma" w:hAnsi="Tahoma" w:cs="Tahoma"/>
          <w:sz w:val="24"/>
          <w:szCs w:val="24"/>
          <w:lang w:val="en-US"/>
        </w:rPr>
      </w:pPr>
      <w:r w:rsidRPr="00E43EDA">
        <w:rPr>
          <w:rFonts w:ascii="Tahoma" w:hAnsi="Tahoma" w:cs="Tahoma"/>
          <w:sz w:val="24"/>
          <w:szCs w:val="24"/>
          <w:lang w:val="en-US"/>
        </w:rPr>
        <w:t>The EU does never mention the obligations of Belgium under international treaties. The paper of the Commission of 29 May 2013 e.g. clearly mentions that the recent pension reform was an important step.</w:t>
      </w:r>
      <w:r w:rsidR="009A7FA0" w:rsidRPr="00E43EDA">
        <w:rPr>
          <w:rStyle w:val="FootnoteReference"/>
          <w:rFonts w:ascii="Tahoma" w:hAnsi="Tahoma" w:cs="Tahoma"/>
          <w:sz w:val="24"/>
          <w:szCs w:val="24"/>
          <w:lang w:val="en-US"/>
        </w:rPr>
        <w:footnoteReference w:id="35"/>
      </w:r>
      <w:r w:rsidRPr="00E43EDA">
        <w:rPr>
          <w:rFonts w:ascii="Tahoma" w:hAnsi="Tahoma" w:cs="Tahoma"/>
          <w:sz w:val="24"/>
          <w:szCs w:val="24"/>
          <w:lang w:val="en-US"/>
        </w:rPr>
        <w:t xml:space="preserve"> Nothing is said about respecting social regulations in the internal framework and in the international legal framework. </w:t>
      </w:r>
      <w:r w:rsidR="009A7FA0" w:rsidRPr="00E43EDA">
        <w:rPr>
          <w:rFonts w:ascii="Tahoma" w:hAnsi="Tahoma" w:cs="Tahoma"/>
          <w:sz w:val="24"/>
          <w:szCs w:val="24"/>
          <w:lang w:val="en-US"/>
        </w:rPr>
        <w:t xml:space="preserve">Article 28 of the </w:t>
      </w:r>
      <w:r w:rsidR="00511C8B" w:rsidRPr="00E43EDA">
        <w:rPr>
          <w:rFonts w:ascii="Tahoma" w:hAnsi="Tahoma" w:cs="Tahoma"/>
          <w:sz w:val="24"/>
          <w:szCs w:val="24"/>
          <w:lang w:val="en-US"/>
        </w:rPr>
        <w:t>Charter</w:t>
      </w:r>
      <w:r w:rsidR="009A7FA0" w:rsidRPr="00E43EDA">
        <w:rPr>
          <w:rFonts w:ascii="Tahoma" w:hAnsi="Tahoma" w:cs="Tahoma"/>
          <w:sz w:val="24"/>
          <w:szCs w:val="24"/>
          <w:lang w:val="en-US"/>
        </w:rPr>
        <w:t xml:space="preserve"> of the Fundamental Rights of the European Union however explicitly states that collective negotiations and collective agreements are basic rights within the framework of the EU. </w:t>
      </w:r>
      <w:r w:rsidRPr="00E43EDA">
        <w:rPr>
          <w:rFonts w:ascii="Tahoma" w:hAnsi="Tahoma" w:cs="Tahoma"/>
          <w:sz w:val="24"/>
          <w:szCs w:val="24"/>
          <w:lang w:val="en-US"/>
        </w:rPr>
        <w:t xml:space="preserve"> </w:t>
      </w:r>
      <w:r w:rsidR="009A7FA0" w:rsidRPr="00E43EDA">
        <w:rPr>
          <w:rFonts w:ascii="Tahoma" w:hAnsi="Tahoma" w:cs="Tahoma"/>
          <w:sz w:val="24"/>
          <w:szCs w:val="24"/>
          <w:lang w:val="en-US"/>
        </w:rPr>
        <w:t xml:space="preserve">It remains to be </w:t>
      </w:r>
      <w:r w:rsidR="009879A8">
        <w:rPr>
          <w:rFonts w:ascii="Tahoma" w:hAnsi="Tahoma" w:cs="Tahoma"/>
          <w:sz w:val="24"/>
          <w:szCs w:val="24"/>
          <w:lang w:val="en-US"/>
        </w:rPr>
        <w:t xml:space="preserve">seen </w:t>
      </w:r>
      <w:r w:rsidR="009A7FA0" w:rsidRPr="00E43EDA">
        <w:rPr>
          <w:rFonts w:ascii="Tahoma" w:hAnsi="Tahoma" w:cs="Tahoma"/>
          <w:sz w:val="24"/>
          <w:szCs w:val="24"/>
          <w:lang w:val="en-US"/>
        </w:rPr>
        <w:t xml:space="preserve">how the EU looks at these general social rights in the difficult financial and economic environment. </w:t>
      </w:r>
    </w:p>
    <w:p w:rsidR="008E458F" w:rsidRPr="00E43EDA" w:rsidRDefault="008E458F" w:rsidP="008E458F">
      <w:pPr>
        <w:pStyle w:val="ListParagraph"/>
        <w:numPr>
          <w:ilvl w:val="0"/>
          <w:numId w:val="9"/>
        </w:numPr>
        <w:jc w:val="both"/>
        <w:rPr>
          <w:rFonts w:ascii="Tahoma" w:hAnsi="Tahoma" w:cs="Tahoma"/>
          <w:sz w:val="24"/>
          <w:szCs w:val="24"/>
          <w:lang w:val="en-US"/>
        </w:rPr>
      </w:pPr>
      <w:r w:rsidRPr="00E43EDA">
        <w:rPr>
          <w:rFonts w:ascii="Tahoma" w:hAnsi="Tahoma" w:cs="Tahoma"/>
          <w:sz w:val="24"/>
          <w:szCs w:val="24"/>
          <w:lang w:val="en-US"/>
        </w:rPr>
        <w:lastRenderedPageBreak/>
        <w:t xml:space="preserve">The Netherlands </w:t>
      </w:r>
    </w:p>
    <w:p w:rsidR="008E458F" w:rsidRPr="00E43EDA" w:rsidRDefault="008E458F" w:rsidP="008E458F">
      <w:pPr>
        <w:jc w:val="both"/>
        <w:rPr>
          <w:rFonts w:ascii="Tahoma" w:hAnsi="Tahoma" w:cs="Tahoma"/>
          <w:sz w:val="24"/>
          <w:szCs w:val="24"/>
          <w:lang w:val="en-US"/>
        </w:rPr>
      </w:pPr>
      <w:r w:rsidRPr="00E43EDA">
        <w:rPr>
          <w:rFonts w:ascii="Tahoma" w:hAnsi="Tahoma" w:cs="Tahoma"/>
          <w:sz w:val="24"/>
          <w:szCs w:val="24"/>
          <w:lang w:val="en-US"/>
        </w:rPr>
        <w:t xml:space="preserve">The first governmental agreement after the launch of the report on the excessive budgetary deficit of the Netherlands in </w:t>
      </w:r>
      <w:proofErr w:type="gramStart"/>
      <w:r w:rsidRPr="00E43EDA">
        <w:rPr>
          <w:rFonts w:ascii="Tahoma" w:hAnsi="Tahoma" w:cs="Tahoma"/>
          <w:sz w:val="24"/>
          <w:szCs w:val="24"/>
          <w:lang w:val="en-US"/>
        </w:rPr>
        <w:t>2009,</w:t>
      </w:r>
      <w:proofErr w:type="gramEnd"/>
      <w:r w:rsidRPr="00E43EDA">
        <w:rPr>
          <w:rFonts w:ascii="Tahoma" w:hAnsi="Tahoma" w:cs="Tahoma"/>
          <w:sz w:val="24"/>
          <w:szCs w:val="24"/>
          <w:lang w:val="en-US"/>
        </w:rPr>
        <w:t xml:space="preserve"> included important elements on downsizing the State. The number of officials at central level had to be reduced by passing tasks to decentralized entities (municipalities and provinces).</w:t>
      </w:r>
      <w:r w:rsidRPr="00E43EDA">
        <w:rPr>
          <w:rStyle w:val="FootnoteReference"/>
          <w:rFonts w:ascii="Tahoma" w:hAnsi="Tahoma" w:cs="Tahoma"/>
          <w:sz w:val="24"/>
          <w:szCs w:val="24"/>
          <w:lang w:val="en-US"/>
        </w:rPr>
        <w:footnoteReference w:id="36"/>
      </w:r>
    </w:p>
    <w:p w:rsidR="008E458F" w:rsidRPr="00E43EDA" w:rsidRDefault="008E458F" w:rsidP="008E458F">
      <w:pPr>
        <w:jc w:val="both"/>
        <w:rPr>
          <w:rFonts w:ascii="Tahoma" w:hAnsi="Tahoma" w:cs="Tahoma"/>
          <w:sz w:val="24"/>
          <w:szCs w:val="24"/>
          <w:lang w:val="en-US"/>
        </w:rPr>
      </w:pPr>
      <w:r w:rsidRPr="00E43EDA">
        <w:rPr>
          <w:rFonts w:ascii="Tahoma" w:hAnsi="Tahoma" w:cs="Tahoma"/>
          <w:sz w:val="24"/>
          <w:szCs w:val="24"/>
          <w:lang w:val="en-US"/>
        </w:rPr>
        <w:t xml:space="preserve">Rather quickly after the governmental agreement of 2010, the government decided not to focus on the reduction of the number of officials as such, but to focus on the freezing the wages of officials. Minister </w:t>
      </w:r>
      <w:proofErr w:type="gramStart"/>
      <w:r w:rsidRPr="00E43EDA">
        <w:rPr>
          <w:rFonts w:ascii="Tahoma" w:hAnsi="Tahoma" w:cs="Tahoma"/>
          <w:sz w:val="24"/>
          <w:szCs w:val="24"/>
          <w:lang w:val="en-US"/>
        </w:rPr>
        <w:t>of  Home</w:t>
      </w:r>
      <w:proofErr w:type="gramEnd"/>
      <w:r w:rsidRPr="00E43EDA">
        <w:rPr>
          <w:rFonts w:ascii="Tahoma" w:hAnsi="Tahoma" w:cs="Tahoma"/>
          <w:sz w:val="24"/>
          <w:szCs w:val="24"/>
          <w:lang w:val="en-US"/>
        </w:rPr>
        <w:t xml:space="preserve"> Affairs Piet Hein Donner announced in July 2011 that he desired to keep the wages of the State officials frozen for a period of two years.</w:t>
      </w:r>
      <w:r w:rsidRPr="00E43EDA">
        <w:rPr>
          <w:rStyle w:val="FootnoteReference"/>
          <w:rFonts w:ascii="Tahoma" w:hAnsi="Tahoma" w:cs="Tahoma"/>
          <w:sz w:val="24"/>
          <w:szCs w:val="24"/>
          <w:lang w:val="en-US"/>
        </w:rPr>
        <w:footnoteReference w:id="37"/>
      </w:r>
    </w:p>
    <w:p w:rsidR="008E458F" w:rsidRPr="00E43EDA" w:rsidRDefault="008E458F" w:rsidP="008E458F">
      <w:pPr>
        <w:jc w:val="both"/>
        <w:rPr>
          <w:rFonts w:ascii="Tahoma" w:hAnsi="Tahoma" w:cs="Tahoma"/>
          <w:sz w:val="24"/>
          <w:szCs w:val="24"/>
          <w:lang w:val="en-US"/>
        </w:rPr>
      </w:pPr>
      <w:r w:rsidRPr="00E43EDA">
        <w:rPr>
          <w:rFonts w:ascii="Tahoma" w:hAnsi="Tahoma" w:cs="Tahoma"/>
          <w:sz w:val="24"/>
          <w:szCs w:val="24"/>
          <w:lang w:val="en-US"/>
        </w:rPr>
        <w:t>The impact of this decision on the procedure of collective bargaining in the Dutch public sector may not be underestimated. Article 105, 3</w:t>
      </w:r>
      <w:r w:rsidRPr="00E43EDA">
        <w:rPr>
          <w:rFonts w:ascii="Tahoma" w:hAnsi="Tahoma" w:cs="Tahoma"/>
          <w:sz w:val="24"/>
          <w:szCs w:val="24"/>
          <w:vertAlign w:val="superscript"/>
          <w:lang w:val="en-US"/>
        </w:rPr>
        <w:t>rd</w:t>
      </w:r>
      <w:r w:rsidRPr="00E43EDA">
        <w:rPr>
          <w:rFonts w:ascii="Tahoma" w:hAnsi="Tahoma" w:cs="Tahoma"/>
          <w:sz w:val="24"/>
          <w:szCs w:val="24"/>
          <w:lang w:val="en-US"/>
        </w:rPr>
        <w:t xml:space="preserve"> paragraph of the General Decree of officials in the public sector enacts that it is mandatory to negotiate over all topics of general interest as long as the rights and duties of individual officials are concerned. Each proposal has to be agreed upon by the Sector Commission.</w:t>
      </w:r>
      <w:r w:rsidRPr="00E43EDA">
        <w:rPr>
          <w:rStyle w:val="FootnoteReference"/>
          <w:rFonts w:ascii="Tahoma" w:hAnsi="Tahoma" w:cs="Tahoma"/>
          <w:sz w:val="24"/>
          <w:szCs w:val="24"/>
          <w:lang w:val="en-US"/>
        </w:rPr>
        <w:footnoteReference w:id="38"/>
      </w:r>
      <w:r w:rsidR="00CA4D06" w:rsidRPr="00E43EDA">
        <w:rPr>
          <w:rFonts w:ascii="Tahoma" w:hAnsi="Tahoma" w:cs="Tahoma"/>
          <w:sz w:val="24"/>
          <w:szCs w:val="24"/>
          <w:lang w:val="en-US"/>
        </w:rPr>
        <w:t xml:space="preserve"> It may be worth to recapitulate that most of the social security regulations in the public and in the private sector have been made identical in the Netherlands.</w:t>
      </w:r>
      <w:r w:rsidR="00CA4D06" w:rsidRPr="00E43EDA">
        <w:rPr>
          <w:rStyle w:val="FootnoteReference"/>
          <w:rFonts w:ascii="Tahoma" w:hAnsi="Tahoma" w:cs="Tahoma"/>
          <w:sz w:val="24"/>
          <w:szCs w:val="24"/>
          <w:lang w:val="en-US"/>
        </w:rPr>
        <w:footnoteReference w:id="39"/>
      </w:r>
      <w:r w:rsidR="00CA4D06" w:rsidRPr="00E43EDA">
        <w:rPr>
          <w:rFonts w:ascii="Tahoma" w:hAnsi="Tahoma" w:cs="Tahoma"/>
          <w:sz w:val="24"/>
          <w:szCs w:val="24"/>
          <w:lang w:val="en-US"/>
        </w:rPr>
        <w:t xml:space="preserve"> During the nineties, major regulations of the private sector were made applicable to the public sector such as the Act on unemployment, the Act on Sickness leave and the Act on </w:t>
      </w:r>
      <w:r w:rsidR="00511C8B" w:rsidRPr="00E43EDA">
        <w:rPr>
          <w:rFonts w:ascii="Tahoma" w:hAnsi="Tahoma" w:cs="Tahoma"/>
          <w:sz w:val="24"/>
          <w:szCs w:val="24"/>
          <w:lang w:val="en-US"/>
        </w:rPr>
        <w:t>Enterprise</w:t>
      </w:r>
      <w:r w:rsidR="00CA4D06" w:rsidRPr="00E43EDA">
        <w:rPr>
          <w:rFonts w:ascii="Tahoma" w:hAnsi="Tahoma" w:cs="Tahoma"/>
          <w:sz w:val="24"/>
          <w:szCs w:val="24"/>
          <w:lang w:val="en-US"/>
        </w:rPr>
        <w:t xml:space="preserve"> Councils. </w:t>
      </w:r>
    </w:p>
    <w:p w:rsidR="008E458F" w:rsidRPr="00E43EDA" w:rsidRDefault="008E458F" w:rsidP="008E458F">
      <w:pPr>
        <w:jc w:val="both"/>
        <w:rPr>
          <w:rFonts w:ascii="Tahoma" w:hAnsi="Tahoma" w:cs="Tahoma"/>
          <w:sz w:val="24"/>
          <w:szCs w:val="24"/>
          <w:lang w:val="en-US"/>
        </w:rPr>
      </w:pPr>
      <w:r w:rsidRPr="00E43EDA">
        <w:rPr>
          <w:rFonts w:ascii="Tahoma" w:hAnsi="Tahoma" w:cs="Tahoma"/>
          <w:sz w:val="24"/>
          <w:szCs w:val="24"/>
          <w:lang w:val="en-US"/>
        </w:rPr>
        <w:t xml:space="preserve">Collective negotiations with the trade unions of the State officials became very complex </w:t>
      </w:r>
      <w:r w:rsidR="009A7FA0" w:rsidRPr="00E43EDA">
        <w:rPr>
          <w:rFonts w:ascii="Tahoma" w:hAnsi="Tahoma" w:cs="Tahoma"/>
          <w:sz w:val="24"/>
          <w:szCs w:val="24"/>
          <w:lang w:val="en-US"/>
        </w:rPr>
        <w:t xml:space="preserve">when no space was left to </w:t>
      </w:r>
      <w:r w:rsidRPr="00E43EDA">
        <w:rPr>
          <w:rFonts w:ascii="Tahoma" w:hAnsi="Tahoma" w:cs="Tahoma"/>
          <w:sz w:val="24"/>
          <w:szCs w:val="24"/>
          <w:lang w:val="en-US"/>
        </w:rPr>
        <w:t>increase in the wages</w:t>
      </w:r>
      <w:r w:rsidR="009879A8">
        <w:rPr>
          <w:rFonts w:ascii="Tahoma" w:hAnsi="Tahoma" w:cs="Tahoma"/>
          <w:sz w:val="24"/>
          <w:szCs w:val="24"/>
          <w:lang w:val="en-US"/>
        </w:rPr>
        <w:t xml:space="preserve"> of the officials</w:t>
      </w:r>
      <w:r w:rsidR="009A7FA0" w:rsidRPr="00E43EDA">
        <w:rPr>
          <w:rFonts w:ascii="Tahoma" w:hAnsi="Tahoma" w:cs="Tahoma"/>
          <w:sz w:val="24"/>
          <w:szCs w:val="24"/>
          <w:lang w:val="en-US"/>
        </w:rPr>
        <w:t>. T</w:t>
      </w:r>
      <w:r w:rsidRPr="00E43EDA">
        <w:rPr>
          <w:rFonts w:ascii="Tahoma" w:hAnsi="Tahoma" w:cs="Tahoma"/>
          <w:sz w:val="24"/>
          <w:szCs w:val="24"/>
          <w:lang w:val="en-US"/>
        </w:rPr>
        <w:t>he Minister (and Dutch government) kept stating that a zero line (for budgetary reasons) has to be respected.</w:t>
      </w:r>
      <w:r w:rsidR="009A7FA0" w:rsidRPr="00E43EDA">
        <w:rPr>
          <w:rFonts w:ascii="Tahoma" w:hAnsi="Tahoma" w:cs="Tahoma"/>
          <w:sz w:val="24"/>
          <w:szCs w:val="24"/>
          <w:lang w:val="en-US"/>
        </w:rPr>
        <w:t xml:space="preserve"> Obviously, this political statement undermined the possibility to enter into real negotiations. </w:t>
      </w:r>
      <w:r w:rsidRPr="00E43EDA">
        <w:rPr>
          <w:rFonts w:ascii="Tahoma" w:hAnsi="Tahoma" w:cs="Tahoma"/>
          <w:sz w:val="24"/>
          <w:szCs w:val="24"/>
          <w:lang w:val="en-US"/>
        </w:rPr>
        <w:t xml:space="preserve"> </w:t>
      </w:r>
    </w:p>
    <w:p w:rsidR="008E458F" w:rsidRPr="00E43EDA" w:rsidRDefault="008E458F" w:rsidP="008E458F">
      <w:pPr>
        <w:jc w:val="both"/>
        <w:rPr>
          <w:rFonts w:ascii="Tahoma" w:hAnsi="Tahoma" w:cs="Tahoma"/>
          <w:sz w:val="24"/>
          <w:szCs w:val="24"/>
          <w:lang w:val="en-US"/>
        </w:rPr>
      </w:pPr>
      <w:r w:rsidRPr="00E43EDA">
        <w:rPr>
          <w:rFonts w:ascii="Tahoma" w:hAnsi="Tahoma" w:cs="Tahoma"/>
          <w:sz w:val="24"/>
          <w:szCs w:val="24"/>
          <w:lang w:val="en-US"/>
        </w:rPr>
        <w:t>The new governmental agreement of the government Rutte II explicitly indicated to keep this specific zero line for the period 2012 and 2013. The negotiations with the trade unions have bee</w:t>
      </w:r>
      <w:r w:rsidR="009879A8">
        <w:rPr>
          <w:rFonts w:ascii="Tahoma" w:hAnsi="Tahoma" w:cs="Tahoma"/>
          <w:sz w:val="24"/>
          <w:szCs w:val="24"/>
          <w:lang w:val="en-US"/>
        </w:rPr>
        <w:t>n difficult until 11 April 2013.</w:t>
      </w:r>
      <w:r w:rsidRPr="00E43EDA">
        <w:rPr>
          <w:rFonts w:ascii="Tahoma" w:hAnsi="Tahoma" w:cs="Tahoma"/>
          <w:sz w:val="24"/>
          <w:szCs w:val="24"/>
          <w:lang w:val="en-US"/>
        </w:rPr>
        <w:t xml:space="preserve"> </w:t>
      </w:r>
      <w:r w:rsidR="009879A8">
        <w:rPr>
          <w:rFonts w:ascii="Tahoma" w:hAnsi="Tahoma" w:cs="Tahoma"/>
          <w:sz w:val="24"/>
          <w:szCs w:val="24"/>
          <w:lang w:val="en-US"/>
        </w:rPr>
        <w:t xml:space="preserve">On that date, </w:t>
      </w:r>
      <w:r w:rsidRPr="00E43EDA">
        <w:rPr>
          <w:rFonts w:ascii="Tahoma" w:hAnsi="Tahoma" w:cs="Tahoma"/>
          <w:sz w:val="24"/>
          <w:szCs w:val="24"/>
          <w:lang w:val="en-US"/>
        </w:rPr>
        <w:t xml:space="preserve">government announced that the budgetary predictions for the coming years were improved which included that the wages of officials could be defrozen in a new social agreement. </w:t>
      </w:r>
    </w:p>
    <w:p w:rsidR="009879A8" w:rsidRDefault="00857089" w:rsidP="008E458F">
      <w:pPr>
        <w:jc w:val="both"/>
        <w:rPr>
          <w:rFonts w:ascii="Tahoma" w:hAnsi="Tahoma" w:cs="Tahoma"/>
          <w:sz w:val="24"/>
          <w:szCs w:val="24"/>
          <w:lang w:val="en-US"/>
        </w:rPr>
      </w:pPr>
      <w:r w:rsidRPr="00E43EDA">
        <w:rPr>
          <w:rFonts w:ascii="Tahoma" w:hAnsi="Tahoma" w:cs="Tahoma"/>
          <w:sz w:val="24"/>
          <w:szCs w:val="24"/>
          <w:lang w:val="en-US"/>
        </w:rPr>
        <w:lastRenderedPageBreak/>
        <w:t xml:space="preserve">The indication of the so-called zero line, which means that there is absolutely no room for wage increases, can only be done after collective </w:t>
      </w:r>
      <w:r w:rsidR="00511C8B" w:rsidRPr="00E43EDA">
        <w:rPr>
          <w:rFonts w:ascii="Tahoma" w:hAnsi="Tahoma" w:cs="Tahoma"/>
          <w:sz w:val="24"/>
          <w:szCs w:val="24"/>
          <w:lang w:val="en-US"/>
        </w:rPr>
        <w:t>negotiations</w:t>
      </w:r>
      <w:r w:rsidR="009879A8">
        <w:rPr>
          <w:rFonts w:ascii="Tahoma" w:hAnsi="Tahoma" w:cs="Tahoma"/>
          <w:sz w:val="24"/>
          <w:szCs w:val="24"/>
          <w:lang w:val="en-US"/>
        </w:rPr>
        <w:t xml:space="preserve"> have taken place. N</w:t>
      </w:r>
      <w:r w:rsidRPr="00E43EDA">
        <w:rPr>
          <w:rFonts w:ascii="Tahoma" w:hAnsi="Tahoma" w:cs="Tahoma"/>
          <w:sz w:val="24"/>
          <w:szCs w:val="24"/>
          <w:lang w:val="en-US"/>
        </w:rPr>
        <w:t xml:space="preserve">egotiations are mandatory </w:t>
      </w:r>
      <w:r w:rsidR="009879A8">
        <w:rPr>
          <w:rFonts w:ascii="Tahoma" w:hAnsi="Tahoma" w:cs="Tahoma"/>
          <w:sz w:val="24"/>
          <w:szCs w:val="24"/>
          <w:lang w:val="en-US"/>
        </w:rPr>
        <w:t xml:space="preserve">under Dutch law </w:t>
      </w:r>
      <w:r w:rsidRPr="00E43EDA">
        <w:rPr>
          <w:rFonts w:ascii="Tahoma" w:hAnsi="Tahoma" w:cs="Tahoma"/>
          <w:sz w:val="24"/>
          <w:szCs w:val="24"/>
          <w:lang w:val="en-US"/>
        </w:rPr>
        <w:t xml:space="preserve">and the </w:t>
      </w:r>
      <w:proofErr w:type="gramStart"/>
      <w:r w:rsidRPr="00E43EDA">
        <w:rPr>
          <w:rFonts w:ascii="Tahoma" w:hAnsi="Tahoma" w:cs="Tahoma"/>
          <w:sz w:val="24"/>
          <w:szCs w:val="24"/>
          <w:lang w:val="en-US"/>
        </w:rPr>
        <w:t>State</w:t>
      </w:r>
      <w:proofErr w:type="gramEnd"/>
      <w:r w:rsidRPr="00E43EDA">
        <w:rPr>
          <w:rFonts w:ascii="Tahoma" w:hAnsi="Tahoma" w:cs="Tahoma"/>
          <w:sz w:val="24"/>
          <w:szCs w:val="24"/>
          <w:lang w:val="en-US"/>
        </w:rPr>
        <w:t xml:space="preserve"> as Employer needs to find an agreement with the representative trade unions, according to article 105, 3</w:t>
      </w:r>
      <w:r w:rsidRPr="00E43EDA">
        <w:rPr>
          <w:rFonts w:ascii="Tahoma" w:hAnsi="Tahoma" w:cs="Tahoma"/>
          <w:sz w:val="24"/>
          <w:szCs w:val="24"/>
          <w:vertAlign w:val="superscript"/>
          <w:lang w:val="en-US"/>
        </w:rPr>
        <w:t>rd</w:t>
      </w:r>
      <w:r w:rsidRPr="00E43EDA">
        <w:rPr>
          <w:rFonts w:ascii="Tahoma" w:hAnsi="Tahoma" w:cs="Tahoma"/>
          <w:sz w:val="24"/>
          <w:szCs w:val="24"/>
          <w:lang w:val="en-US"/>
        </w:rPr>
        <w:t xml:space="preserve"> paragraph of the General Decree on Public Servants, in execution of article 125 of the Act on Public Servants. This means that the Dutch government cann</w:t>
      </w:r>
      <w:r w:rsidR="009879A8">
        <w:rPr>
          <w:rFonts w:ascii="Tahoma" w:hAnsi="Tahoma" w:cs="Tahoma"/>
          <w:sz w:val="24"/>
          <w:szCs w:val="24"/>
          <w:lang w:val="en-US"/>
        </w:rPr>
        <w:t>ot unilateral declare that there exists no room for negotiations</w:t>
      </w:r>
      <w:r w:rsidRPr="00E43EDA">
        <w:rPr>
          <w:rFonts w:ascii="Tahoma" w:hAnsi="Tahoma" w:cs="Tahoma"/>
          <w:sz w:val="24"/>
          <w:szCs w:val="24"/>
          <w:lang w:val="en-US"/>
        </w:rPr>
        <w:t xml:space="preserve">. </w:t>
      </w:r>
    </w:p>
    <w:p w:rsidR="009A7FA0" w:rsidRPr="00E43EDA" w:rsidRDefault="009879A8" w:rsidP="008E458F">
      <w:pPr>
        <w:jc w:val="both"/>
        <w:rPr>
          <w:rFonts w:ascii="Tahoma" w:hAnsi="Tahoma" w:cs="Tahoma"/>
          <w:sz w:val="24"/>
          <w:szCs w:val="24"/>
          <w:lang w:val="en-US"/>
        </w:rPr>
      </w:pPr>
      <w:r>
        <w:rPr>
          <w:rFonts w:ascii="Tahoma" w:hAnsi="Tahoma" w:cs="Tahoma"/>
          <w:sz w:val="24"/>
          <w:szCs w:val="24"/>
          <w:lang w:val="en-US"/>
        </w:rPr>
        <w:t>The so-called zero line</w:t>
      </w:r>
      <w:r w:rsidR="00857089" w:rsidRPr="00E43EDA">
        <w:rPr>
          <w:rFonts w:ascii="Tahoma" w:hAnsi="Tahoma" w:cs="Tahoma"/>
          <w:sz w:val="24"/>
          <w:szCs w:val="24"/>
          <w:lang w:val="en-US"/>
        </w:rPr>
        <w:t xml:space="preserve"> may be the consequence of an agreement with the trade unions after collective negotiations. However, the zero line was announced before the negotiations with the trade unions had started.</w:t>
      </w:r>
      <w:r w:rsidR="003E01CC" w:rsidRPr="00E43EDA">
        <w:rPr>
          <w:rFonts w:ascii="Tahoma" w:hAnsi="Tahoma" w:cs="Tahoma"/>
          <w:sz w:val="24"/>
          <w:szCs w:val="24"/>
          <w:lang w:val="en-US"/>
        </w:rPr>
        <w:t xml:space="preserve"> The Commission for Advice and Arbitration, which can be consulted in case difficulties rise during the State as Employer and the trade unions in the negotiation process clearly indicated that the outcome of negotiations has to be open. It cannot be clear that a 0% increase of the wages is certain before the negotiations have started.</w:t>
      </w:r>
      <w:r w:rsidR="002610A7" w:rsidRPr="00E43EDA">
        <w:rPr>
          <w:rStyle w:val="FootnoteReference"/>
          <w:rFonts w:ascii="Tahoma" w:hAnsi="Tahoma" w:cs="Tahoma"/>
          <w:sz w:val="24"/>
          <w:szCs w:val="24"/>
          <w:lang w:val="en-US"/>
        </w:rPr>
        <w:footnoteReference w:id="40"/>
      </w:r>
    </w:p>
    <w:p w:rsidR="00857089" w:rsidRPr="00E43EDA" w:rsidRDefault="003E01CC" w:rsidP="008E458F">
      <w:pPr>
        <w:jc w:val="both"/>
        <w:rPr>
          <w:rFonts w:ascii="Tahoma" w:hAnsi="Tahoma" w:cs="Tahoma"/>
          <w:sz w:val="24"/>
          <w:szCs w:val="24"/>
          <w:lang w:val="en-US"/>
        </w:rPr>
      </w:pPr>
      <w:r w:rsidRPr="00E43EDA">
        <w:rPr>
          <w:rFonts w:ascii="Tahoma" w:hAnsi="Tahoma" w:cs="Tahoma"/>
          <w:sz w:val="24"/>
          <w:szCs w:val="24"/>
          <w:lang w:val="en-US"/>
        </w:rPr>
        <w:t>The Dutch State u</w:t>
      </w:r>
      <w:r w:rsidR="002610A7" w:rsidRPr="00E43EDA">
        <w:rPr>
          <w:rFonts w:ascii="Tahoma" w:hAnsi="Tahoma" w:cs="Tahoma"/>
          <w:sz w:val="24"/>
          <w:szCs w:val="24"/>
          <w:lang w:val="en-US"/>
        </w:rPr>
        <w:t>n</w:t>
      </w:r>
      <w:r w:rsidRPr="00E43EDA">
        <w:rPr>
          <w:rFonts w:ascii="Tahoma" w:hAnsi="Tahoma" w:cs="Tahoma"/>
          <w:sz w:val="24"/>
          <w:szCs w:val="24"/>
          <w:lang w:val="en-US"/>
        </w:rPr>
        <w:t>d</w:t>
      </w:r>
      <w:r w:rsidR="002610A7" w:rsidRPr="00E43EDA">
        <w:rPr>
          <w:rFonts w:ascii="Tahoma" w:hAnsi="Tahoma" w:cs="Tahoma"/>
          <w:sz w:val="24"/>
          <w:szCs w:val="24"/>
          <w:lang w:val="en-US"/>
        </w:rPr>
        <w:t xml:space="preserve">erstood that its original announcement went quite far. Thus, this led to a correction </w:t>
      </w:r>
      <w:r w:rsidR="00D92A82" w:rsidRPr="00E43EDA">
        <w:rPr>
          <w:rFonts w:ascii="Tahoma" w:hAnsi="Tahoma" w:cs="Tahoma"/>
          <w:sz w:val="24"/>
          <w:szCs w:val="24"/>
          <w:lang w:val="en-US"/>
        </w:rPr>
        <w:t xml:space="preserve">where the strong zero line was not kept but the pecuniary improvement forward could only be realized through </w:t>
      </w:r>
      <w:r w:rsidR="00511C8B" w:rsidRPr="00E43EDA">
        <w:rPr>
          <w:rFonts w:ascii="Tahoma" w:hAnsi="Tahoma" w:cs="Tahoma"/>
          <w:sz w:val="24"/>
          <w:szCs w:val="24"/>
          <w:lang w:val="en-US"/>
        </w:rPr>
        <w:t>improvements</w:t>
      </w:r>
      <w:r w:rsidR="00D92A82" w:rsidRPr="00E43EDA">
        <w:rPr>
          <w:rFonts w:ascii="Tahoma" w:hAnsi="Tahoma" w:cs="Tahoma"/>
          <w:sz w:val="24"/>
          <w:szCs w:val="24"/>
          <w:lang w:val="en-US"/>
        </w:rPr>
        <w:t xml:space="preserve"> of the secondary labour conditions. </w:t>
      </w:r>
      <w:r w:rsidR="002610A7" w:rsidRPr="00E43EDA">
        <w:rPr>
          <w:rFonts w:ascii="Tahoma" w:hAnsi="Tahoma" w:cs="Tahoma"/>
          <w:sz w:val="24"/>
          <w:szCs w:val="24"/>
          <w:lang w:val="en-US"/>
        </w:rPr>
        <w:t xml:space="preserve">However, </w:t>
      </w:r>
      <w:r w:rsidR="00D92A82" w:rsidRPr="00E43EDA">
        <w:rPr>
          <w:rFonts w:ascii="Tahoma" w:hAnsi="Tahoma" w:cs="Tahoma"/>
          <w:sz w:val="24"/>
          <w:szCs w:val="24"/>
          <w:lang w:val="en-US"/>
        </w:rPr>
        <w:t xml:space="preserve">even </w:t>
      </w:r>
      <w:r w:rsidR="002610A7" w:rsidRPr="00E43EDA">
        <w:rPr>
          <w:rFonts w:ascii="Tahoma" w:hAnsi="Tahoma" w:cs="Tahoma"/>
          <w:sz w:val="24"/>
          <w:szCs w:val="24"/>
          <w:lang w:val="en-US"/>
        </w:rPr>
        <w:t xml:space="preserve">as a consequence of this </w:t>
      </w:r>
      <w:r w:rsidR="00D92A82" w:rsidRPr="00E43EDA">
        <w:rPr>
          <w:rFonts w:ascii="Tahoma" w:hAnsi="Tahoma" w:cs="Tahoma"/>
          <w:sz w:val="24"/>
          <w:szCs w:val="24"/>
          <w:lang w:val="en-US"/>
        </w:rPr>
        <w:t>more moderate position of the State</w:t>
      </w:r>
      <w:r w:rsidR="002610A7" w:rsidRPr="00E43EDA">
        <w:rPr>
          <w:rFonts w:ascii="Tahoma" w:hAnsi="Tahoma" w:cs="Tahoma"/>
          <w:sz w:val="24"/>
          <w:szCs w:val="24"/>
          <w:lang w:val="en-US"/>
        </w:rPr>
        <w:t xml:space="preserve">, the negotiations with the trade unions were suspended for two years. </w:t>
      </w:r>
      <w:r w:rsidR="00D92A82" w:rsidRPr="00E43EDA">
        <w:rPr>
          <w:rFonts w:ascii="Tahoma" w:hAnsi="Tahoma" w:cs="Tahoma"/>
          <w:sz w:val="24"/>
          <w:szCs w:val="24"/>
          <w:lang w:val="en-US"/>
        </w:rPr>
        <w:t xml:space="preserve">It </w:t>
      </w:r>
      <w:r w:rsidR="009879A8">
        <w:rPr>
          <w:rFonts w:ascii="Tahoma" w:hAnsi="Tahoma" w:cs="Tahoma"/>
          <w:sz w:val="24"/>
          <w:szCs w:val="24"/>
          <w:lang w:val="en-US"/>
        </w:rPr>
        <w:t xml:space="preserve">finally even </w:t>
      </w:r>
      <w:r w:rsidR="00D92A82" w:rsidRPr="00E43EDA">
        <w:rPr>
          <w:rFonts w:ascii="Tahoma" w:hAnsi="Tahoma" w:cs="Tahoma"/>
          <w:sz w:val="24"/>
          <w:szCs w:val="24"/>
          <w:lang w:val="en-US"/>
        </w:rPr>
        <w:t xml:space="preserve">led until </w:t>
      </w:r>
      <w:r w:rsidRPr="00E43EDA">
        <w:rPr>
          <w:rFonts w:ascii="Tahoma" w:hAnsi="Tahoma" w:cs="Tahoma"/>
          <w:sz w:val="24"/>
          <w:szCs w:val="24"/>
          <w:lang w:val="en-US"/>
        </w:rPr>
        <w:t xml:space="preserve">17 September </w:t>
      </w:r>
      <w:r w:rsidR="00D92A82" w:rsidRPr="00E43EDA">
        <w:rPr>
          <w:rFonts w:ascii="Tahoma" w:hAnsi="Tahoma" w:cs="Tahoma"/>
          <w:sz w:val="24"/>
          <w:szCs w:val="24"/>
          <w:lang w:val="en-US"/>
        </w:rPr>
        <w:t>201</w:t>
      </w:r>
      <w:r w:rsidR="0028238A" w:rsidRPr="00E43EDA">
        <w:rPr>
          <w:rFonts w:ascii="Tahoma" w:hAnsi="Tahoma" w:cs="Tahoma"/>
          <w:sz w:val="24"/>
          <w:szCs w:val="24"/>
          <w:lang w:val="en-US"/>
        </w:rPr>
        <w:t>3</w:t>
      </w:r>
      <w:r w:rsidR="00D92A82" w:rsidRPr="00E43EDA">
        <w:rPr>
          <w:rFonts w:ascii="Tahoma" w:hAnsi="Tahoma" w:cs="Tahoma"/>
          <w:sz w:val="24"/>
          <w:szCs w:val="24"/>
          <w:lang w:val="en-US"/>
        </w:rPr>
        <w:t xml:space="preserve"> before</w:t>
      </w:r>
      <w:r w:rsidR="0028238A" w:rsidRPr="00E43EDA">
        <w:rPr>
          <w:rFonts w:ascii="Tahoma" w:hAnsi="Tahoma" w:cs="Tahoma"/>
          <w:sz w:val="24"/>
          <w:szCs w:val="24"/>
          <w:lang w:val="en-US"/>
        </w:rPr>
        <w:t xml:space="preserve"> </w:t>
      </w:r>
      <w:r w:rsidR="00D92A82" w:rsidRPr="00E43EDA">
        <w:rPr>
          <w:rFonts w:ascii="Tahoma" w:hAnsi="Tahoma" w:cs="Tahoma"/>
          <w:sz w:val="24"/>
          <w:szCs w:val="24"/>
          <w:lang w:val="en-US"/>
        </w:rPr>
        <w:t xml:space="preserve">the </w:t>
      </w:r>
      <w:proofErr w:type="gramStart"/>
      <w:r w:rsidR="00D92A82" w:rsidRPr="00E43EDA">
        <w:rPr>
          <w:rFonts w:ascii="Tahoma" w:hAnsi="Tahoma" w:cs="Tahoma"/>
          <w:sz w:val="24"/>
          <w:szCs w:val="24"/>
          <w:lang w:val="en-US"/>
        </w:rPr>
        <w:t>zero line was withdrawn by the Dutch government</w:t>
      </w:r>
      <w:proofErr w:type="gramEnd"/>
      <w:r w:rsidR="00D92A82" w:rsidRPr="00E43EDA">
        <w:rPr>
          <w:rFonts w:ascii="Tahoma" w:hAnsi="Tahoma" w:cs="Tahoma"/>
          <w:sz w:val="24"/>
          <w:szCs w:val="24"/>
          <w:lang w:val="en-US"/>
        </w:rPr>
        <w:t>.</w:t>
      </w:r>
      <w:r w:rsidR="00D92A82" w:rsidRPr="00E43EDA">
        <w:rPr>
          <w:rStyle w:val="FootnoteReference"/>
          <w:rFonts w:ascii="Tahoma" w:hAnsi="Tahoma" w:cs="Tahoma"/>
          <w:sz w:val="24"/>
          <w:szCs w:val="24"/>
          <w:lang w:val="en-US"/>
        </w:rPr>
        <w:footnoteReference w:id="41"/>
      </w:r>
      <w:r w:rsidR="002610A7" w:rsidRPr="00E43EDA">
        <w:rPr>
          <w:rFonts w:ascii="Tahoma" w:hAnsi="Tahoma" w:cs="Tahoma"/>
          <w:sz w:val="24"/>
          <w:szCs w:val="24"/>
          <w:lang w:val="en-US"/>
        </w:rPr>
        <w:t xml:space="preserve"> </w:t>
      </w:r>
    </w:p>
    <w:p w:rsidR="008A69F0" w:rsidRPr="00E43EDA" w:rsidRDefault="009879A8" w:rsidP="008E458F">
      <w:pPr>
        <w:jc w:val="both"/>
        <w:rPr>
          <w:rFonts w:ascii="Tahoma" w:hAnsi="Tahoma" w:cs="Tahoma"/>
          <w:sz w:val="24"/>
          <w:szCs w:val="24"/>
          <w:lang w:val="en-US"/>
        </w:rPr>
      </w:pPr>
      <w:r>
        <w:rPr>
          <w:rFonts w:ascii="Tahoma" w:hAnsi="Tahoma" w:cs="Tahoma"/>
          <w:sz w:val="24"/>
          <w:szCs w:val="24"/>
          <w:lang w:val="en-US"/>
        </w:rPr>
        <w:t>It is</w:t>
      </w:r>
      <w:r w:rsidR="008E458F" w:rsidRPr="00E43EDA">
        <w:rPr>
          <w:rFonts w:ascii="Tahoma" w:hAnsi="Tahoma" w:cs="Tahoma"/>
          <w:sz w:val="24"/>
          <w:szCs w:val="24"/>
          <w:lang w:val="en-US"/>
        </w:rPr>
        <w:t xml:space="preserve"> evident that the austerity reports of the EU have influenced the normal collective bargaining </w:t>
      </w:r>
      <w:proofErr w:type="gramStart"/>
      <w:r w:rsidR="008E458F" w:rsidRPr="00E43EDA">
        <w:rPr>
          <w:rFonts w:ascii="Tahoma" w:hAnsi="Tahoma" w:cs="Tahoma"/>
          <w:sz w:val="24"/>
          <w:szCs w:val="24"/>
          <w:lang w:val="en-US"/>
        </w:rPr>
        <w:t>procedure which</w:t>
      </w:r>
      <w:proofErr w:type="gramEnd"/>
      <w:r w:rsidR="008E458F" w:rsidRPr="00E43EDA">
        <w:rPr>
          <w:rFonts w:ascii="Tahoma" w:hAnsi="Tahoma" w:cs="Tahoma"/>
          <w:sz w:val="24"/>
          <w:szCs w:val="24"/>
          <w:lang w:val="en-US"/>
        </w:rPr>
        <w:t xml:space="preserve"> provides that each modification of a collective regulation (which include</w:t>
      </w:r>
      <w:r>
        <w:rPr>
          <w:rFonts w:ascii="Tahoma" w:hAnsi="Tahoma" w:cs="Tahoma"/>
          <w:sz w:val="24"/>
          <w:szCs w:val="24"/>
          <w:lang w:val="en-US"/>
        </w:rPr>
        <w:t>s the negotiations on wages) is</w:t>
      </w:r>
      <w:r w:rsidR="008E458F" w:rsidRPr="00E43EDA">
        <w:rPr>
          <w:rFonts w:ascii="Tahoma" w:hAnsi="Tahoma" w:cs="Tahoma"/>
          <w:sz w:val="24"/>
          <w:szCs w:val="24"/>
          <w:lang w:val="en-US"/>
        </w:rPr>
        <w:t xml:space="preserve"> strongly affected by the EU austerity measures. </w:t>
      </w:r>
      <w:r w:rsidR="00D92A82" w:rsidRPr="00E43EDA">
        <w:rPr>
          <w:rFonts w:ascii="Tahoma" w:hAnsi="Tahoma" w:cs="Tahoma"/>
          <w:sz w:val="24"/>
          <w:szCs w:val="24"/>
          <w:lang w:val="en-US"/>
        </w:rPr>
        <w:t>The international obligations of the Dutch authorities are the same as for the Belgian and the Spanish authorities. It m</w:t>
      </w:r>
      <w:r w:rsidR="0028238A" w:rsidRPr="00E43EDA">
        <w:rPr>
          <w:rFonts w:ascii="Tahoma" w:hAnsi="Tahoma" w:cs="Tahoma"/>
          <w:sz w:val="24"/>
          <w:szCs w:val="24"/>
          <w:lang w:val="en-US"/>
        </w:rPr>
        <w:t xml:space="preserve">ay not </w:t>
      </w:r>
      <w:r w:rsidR="00D92A82" w:rsidRPr="00E43EDA">
        <w:rPr>
          <w:rFonts w:ascii="Tahoma" w:hAnsi="Tahoma" w:cs="Tahoma"/>
          <w:sz w:val="24"/>
          <w:szCs w:val="24"/>
          <w:lang w:val="en-US"/>
        </w:rPr>
        <w:t xml:space="preserve">surprise that the Dutch government </w:t>
      </w:r>
      <w:r w:rsidR="0028238A" w:rsidRPr="00E43EDA">
        <w:rPr>
          <w:rFonts w:ascii="Tahoma" w:hAnsi="Tahoma" w:cs="Tahoma"/>
          <w:sz w:val="24"/>
          <w:szCs w:val="24"/>
          <w:lang w:val="en-US"/>
        </w:rPr>
        <w:t>invoked reasons linked to the financial and economic crisis to motivate their choice not to enter into negotiations on wage increases for officials in the Netherlands.</w:t>
      </w:r>
      <w:r w:rsidR="0028238A" w:rsidRPr="00E43EDA">
        <w:rPr>
          <w:rStyle w:val="FootnoteReference"/>
          <w:rFonts w:ascii="Tahoma" w:hAnsi="Tahoma" w:cs="Tahoma"/>
          <w:sz w:val="24"/>
          <w:szCs w:val="24"/>
          <w:lang w:val="en-US"/>
        </w:rPr>
        <w:footnoteReference w:id="42"/>
      </w:r>
    </w:p>
    <w:p w:rsidR="0028238A" w:rsidRPr="00E43EDA" w:rsidRDefault="0028238A" w:rsidP="008E458F">
      <w:pPr>
        <w:jc w:val="both"/>
        <w:rPr>
          <w:rFonts w:ascii="Tahoma" w:hAnsi="Tahoma" w:cs="Tahoma"/>
          <w:sz w:val="24"/>
          <w:szCs w:val="24"/>
          <w:lang w:val="en-US"/>
        </w:rPr>
      </w:pPr>
      <w:r w:rsidRPr="00E43EDA">
        <w:rPr>
          <w:rFonts w:ascii="Tahoma" w:hAnsi="Tahoma" w:cs="Tahoma"/>
          <w:sz w:val="24"/>
          <w:szCs w:val="24"/>
          <w:lang w:val="en-US"/>
        </w:rPr>
        <w:t xml:space="preserve">Once again, the report of the EU Commission on the Dutch national reform programme does not mention any problems with </w:t>
      </w:r>
      <w:r w:rsidR="00511C8B" w:rsidRPr="00E43EDA">
        <w:rPr>
          <w:rFonts w:ascii="Tahoma" w:hAnsi="Tahoma" w:cs="Tahoma"/>
          <w:sz w:val="24"/>
          <w:szCs w:val="24"/>
          <w:lang w:val="en-US"/>
        </w:rPr>
        <w:t>collective</w:t>
      </w:r>
      <w:r w:rsidRPr="00E43EDA">
        <w:rPr>
          <w:rFonts w:ascii="Tahoma" w:hAnsi="Tahoma" w:cs="Tahoma"/>
          <w:sz w:val="24"/>
          <w:szCs w:val="24"/>
          <w:lang w:val="en-US"/>
        </w:rPr>
        <w:t xml:space="preserve"> negotiations.</w:t>
      </w:r>
      <w:r w:rsidRPr="00E43EDA">
        <w:rPr>
          <w:rStyle w:val="FootnoteReference"/>
          <w:rFonts w:ascii="Tahoma" w:hAnsi="Tahoma" w:cs="Tahoma"/>
          <w:sz w:val="24"/>
          <w:szCs w:val="24"/>
          <w:lang w:val="en-US"/>
        </w:rPr>
        <w:footnoteReference w:id="43"/>
      </w:r>
      <w:r w:rsidRPr="00E43EDA">
        <w:rPr>
          <w:rFonts w:ascii="Tahoma" w:hAnsi="Tahoma" w:cs="Tahoma"/>
          <w:sz w:val="24"/>
          <w:szCs w:val="24"/>
          <w:lang w:val="en-US"/>
        </w:rPr>
        <w:t xml:space="preserve">  </w:t>
      </w:r>
    </w:p>
    <w:p w:rsidR="00FD0BEB" w:rsidRPr="00E43EDA" w:rsidRDefault="00FD0BEB" w:rsidP="00FD0BEB">
      <w:pPr>
        <w:pStyle w:val="ListParagraph"/>
        <w:numPr>
          <w:ilvl w:val="0"/>
          <w:numId w:val="8"/>
        </w:numPr>
        <w:jc w:val="both"/>
        <w:rPr>
          <w:rFonts w:ascii="Tahoma" w:hAnsi="Tahoma" w:cs="Tahoma"/>
          <w:sz w:val="24"/>
          <w:szCs w:val="24"/>
          <w:lang w:val="en-US"/>
        </w:rPr>
      </w:pPr>
      <w:r w:rsidRPr="00E43EDA">
        <w:rPr>
          <w:rFonts w:ascii="Tahoma" w:hAnsi="Tahoma" w:cs="Tahoma"/>
          <w:sz w:val="24"/>
          <w:szCs w:val="24"/>
          <w:lang w:val="en-US"/>
        </w:rPr>
        <w:lastRenderedPageBreak/>
        <w:t xml:space="preserve">Affections in the light of the evolutions at </w:t>
      </w:r>
      <w:r w:rsidR="00932217" w:rsidRPr="00E43EDA">
        <w:rPr>
          <w:rFonts w:ascii="Tahoma" w:hAnsi="Tahoma" w:cs="Tahoma"/>
          <w:sz w:val="24"/>
          <w:szCs w:val="24"/>
          <w:lang w:val="en-US"/>
        </w:rPr>
        <w:t>ILO</w:t>
      </w:r>
      <w:r w:rsidRPr="00E43EDA">
        <w:rPr>
          <w:rFonts w:ascii="Tahoma" w:hAnsi="Tahoma" w:cs="Tahoma"/>
          <w:sz w:val="24"/>
          <w:szCs w:val="24"/>
          <w:lang w:val="en-US"/>
        </w:rPr>
        <w:t>-level</w:t>
      </w:r>
      <w:r w:rsidR="009879A8">
        <w:rPr>
          <w:rFonts w:ascii="Tahoma" w:hAnsi="Tahoma" w:cs="Tahoma"/>
          <w:sz w:val="24"/>
          <w:szCs w:val="24"/>
          <w:lang w:val="en-US"/>
        </w:rPr>
        <w:t>: the report of ILO-Committee on Spain</w:t>
      </w:r>
    </w:p>
    <w:p w:rsidR="00FD0BEB" w:rsidRPr="00E43EDA" w:rsidRDefault="00511C8B" w:rsidP="00FD0BEB">
      <w:pPr>
        <w:jc w:val="both"/>
        <w:rPr>
          <w:rFonts w:ascii="Tahoma" w:hAnsi="Tahoma" w:cs="Tahoma"/>
          <w:sz w:val="24"/>
          <w:szCs w:val="24"/>
          <w:lang w:val="en-US"/>
        </w:rPr>
      </w:pPr>
      <w:r w:rsidRPr="00E43EDA">
        <w:rPr>
          <w:rFonts w:ascii="Tahoma" w:hAnsi="Tahoma" w:cs="Tahoma"/>
          <w:sz w:val="24"/>
          <w:szCs w:val="24"/>
          <w:lang w:val="en-US"/>
        </w:rPr>
        <w:t xml:space="preserve">The weak position of the basic rights of collective negotiations in the public sector in Spain, Belgium and the Netherlands creates even more queries when article 7 of the ILO-Convention number 151 Labour Relations Public Service Convention of 1978 is taken into consideration. </w:t>
      </w:r>
      <w:r w:rsidR="00FD0BEB" w:rsidRPr="00E43EDA">
        <w:rPr>
          <w:rFonts w:ascii="Tahoma" w:hAnsi="Tahoma" w:cs="Tahoma"/>
          <w:sz w:val="24"/>
          <w:szCs w:val="24"/>
          <w:lang w:val="en-US"/>
        </w:rPr>
        <w:t>This article states the following:</w:t>
      </w:r>
    </w:p>
    <w:p w:rsidR="00FD0BEB" w:rsidRPr="00E43EDA" w:rsidRDefault="00FD0BEB" w:rsidP="00FD0BEB">
      <w:pPr>
        <w:jc w:val="both"/>
        <w:rPr>
          <w:rFonts w:ascii="Tahoma" w:hAnsi="Tahoma" w:cs="Tahoma"/>
          <w:i/>
          <w:sz w:val="24"/>
          <w:szCs w:val="24"/>
          <w:lang w:val="en-US"/>
        </w:rPr>
      </w:pPr>
      <w:r w:rsidRPr="00E43EDA">
        <w:rPr>
          <w:rFonts w:ascii="Tahoma" w:hAnsi="Tahoma" w:cs="Tahoma"/>
          <w:sz w:val="24"/>
          <w:szCs w:val="24"/>
          <w:lang w:val="en-US"/>
        </w:rPr>
        <w:t>“</w:t>
      </w:r>
      <w:r w:rsidRPr="00E43EDA">
        <w:rPr>
          <w:rFonts w:ascii="Tahoma" w:hAnsi="Tahoma" w:cs="Tahoma"/>
          <w:i/>
          <w:sz w:val="24"/>
          <w:szCs w:val="24"/>
          <w:lang w:val="en-US"/>
        </w:rPr>
        <w:t>Measures appropriate to national conditions shall be taken, where necessary, to encourage and promote the full development and utilisation of machinery for negotiation of terms and conditions of employment between the public authorities concerned and public employees' organisations, or of such other methods as will allow representatives of public employees to participate in the determination of these matters”</w:t>
      </w:r>
    </w:p>
    <w:p w:rsidR="00FD0BEB" w:rsidRPr="00E43EDA" w:rsidRDefault="00932217" w:rsidP="00FD0BEB">
      <w:pPr>
        <w:jc w:val="both"/>
        <w:rPr>
          <w:rFonts w:ascii="Tahoma" w:hAnsi="Tahoma" w:cs="Tahoma"/>
          <w:sz w:val="24"/>
          <w:szCs w:val="24"/>
          <w:lang w:val="en-US"/>
        </w:rPr>
      </w:pPr>
      <w:r w:rsidRPr="00E43EDA">
        <w:rPr>
          <w:rFonts w:ascii="Tahoma" w:hAnsi="Tahoma" w:cs="Tahoma"/>
          <w:sz w:val="24"/>
          <w:szCs w:val="24"/>
          <w:lang w:val="en-US"/>
        </w:rPr>
        <w:t xml:space="preserve">All countries studied have ratified this Convention but it seems that important cuts in wages and/or pensions did not lead to a strong </w:t>
      </w:r>
      <w:r w:rsidR="005C6215" w:rsidRPr="00E43EDA">
        <w:rPr>
          <w:rFonts w:ascii="Tahoma" w:hAnsi="Tahoma" w:cs="Tahoma"/>
          <w:sz w:val="24"/>
          <w:szCs w:val="24"/>
          <w:lang w:val="en-US"/>
        </w:rPr>
        <w:t xml:space="preserve">application of this </w:t>
      </w:r>
      <w:r w:rsidR="00511C8B" w:rsidRPr="00E43EDA">
        <w:rPr>
          <w:rFonts w:ascii="Tahoma" w:hAnsi="Tahoma" w:cs="Tahoma"/>
          <w:sz w:val="24"/>
          <w:szCs w:val="24"/>
          <w:lang w:val="en-US"/>
        </w:rPr>
        <w:t>stipulation</w:t>
      </w:r>
      <w:r w:rsidR="009879A8">
        <w:rPr>
          <w:rFonts w:ascii="Tahoma" w:hAnsi="Tahoma" w:cs="Tahoma"/>
          <w:sz w:val="24"/>
          <w:szCs w:val="24"/>
          <w:lang w:val="en-US"/>
        </w:rPr>
        <w:t xml:space="preserve">. Only for Spain, </w:t>
      </w:r>
      <w:r w:rsidR="004F1A66" w:rsidRPr="00E43EDA">
        <w:rPr>
          <w:rFonts w:ascii="Tahoma" w:hAnsi="Tahoma" w:cs="Tahoma"/>
          <w:sz w:val="24"/>
          <w:szCs w:val="24"/>
          <w:lang w:val="en-US"/>
        </w:rPr>
        <w:t xml:space="preserve">a report of the ILO Committee </w:t>
      </w:r>
      <w:r w:rsidR="009879A8">
        <w:rPr>
          <w:rFonts w:ascii="Tahoma" w:hAnsi="Tahoma" w:cs="Tahoma"/>
          <w:sz w:val="24"/>
          <w:szCs w:val="24"/>
          <w:lang w:val="en-US"/>
        </w:rPr>
        <w:t xml:space="preserve">has been issued </w:t>
      </w:r>
      <w:r w:rsidR="004F1A66" w:rsidRPr="00E43EDA">
        <w:rPr>
          <w:rFonts w:ascii="Tahoma" w:hAnsi="Tahoma" w:cs="Tahoma"/>
          <w:sz w:val="24"/>
          <w:szCs w:val="24"/>
          <w:lang w:val="en-US"/>
        </w:rPr>
        <w:t>with the following conclusions:</w:t>
      </w:r>
    </w:p>
    <w:p w:rsidR="004F1A66" w:rsidRPr="00E43EDA" w:rsidRDefault="004F1A66" w:rsidP="004F1A66">
      <w:pPr>
        <w:shd w:val="clear" w:color="auto" w:fill="FFFFFF"/>
        <w:spacing w:after="90" w:line="312" w:lineRule="atLeast"/>
        <w:jc w:val="both"/>
        <w:rPr>
          <w:rFonts w:ascii="Tahoma" w:eastAsia="Times New Roman" w:hAnsi="Tahoma" w:cs="Tahoma"/>
          <w:i/>
          <w:sz w:val="24"/>
          <w:szCs w:val="24"/>
          <w:lang w:val="en-US" w:eastAsia="nl-BE"/>
        </w:rPr>
      </w:pPr>
      <w:r w:rsidRPr="00E43EDA">
        <w:rPr>
          <w:rFonts w:ascii="Tahoma" w:hAnsi="Tahoma" w:cs="Tahoma"/>
          <w:sz w:val="24"/>
          <w:szCs w:val="24"/>
          <w:lang w:val="en-US"/>
        </w:rPr>
        <w:t>“(</w:t>
      </w:r>
      <w:r w:rsidRPr="00E43EDA">
        <w:rPr>
          <w:rFonts w:ascii="Tahoma" w:hAnsi="Tahoma" w:cs="Tahoma"/>
          <w:i/>
          <w:sz w:val="24"/>
          <w:szCs w:val="24"/>
          <w:lang w:val="en-US"/>
        </w:rPr>
        <w:t>a)</w:t>
      </w:r>
      <w:r w:rsidR="009879A8">
        <w:rPr>
          <w:rFonts w:ascii="Tahoma" w:hAnsi="Tahoma" w:cs="Tahoma"/>
          <w:i/>
          <w:sz w:val="24"/>
          <w:szCs w:val="24"/>
          <w:lang w:val="en-US"/>
        </w:rPr>
        <w:t xml:space="preserve"> </w:t>
      </w:r>
      <w:r w:rsidRPr="00E43EDA">
        <w:rPr>
          <w:rFonts w:ascii="Tahoma" w:eastAsia="Times New Roman" w:hAnsi="Tahoma" w:cs="Tahoma"/>
          <w:i/>
          <w:sz w:val="24"/>
          <w:szCs w:val="24"/>
          <w:lang w:val="en-US" w:eastAsia="nl-BE"/>
        </w:rPr>
        <w:t>While noting that the Government refers to economic circumstances of extraordinary gravity, which necessitated urgent action, the Committee regrets the absence of a genuine consultation process with the trade unions on Royal Decree-Law No. 8/2010 despite the importance of the wage cuts it contained, and stresses the importance of the principles on consultations referred to in the conclusions.</w:t>
      </w:r>
    </w:p>
    <w:p w:rsidR="004F1A66" w:rsidRPr="00E43EDA" w:rsidRDefault="004F1A66" w:rsidP="004F1A66">
      <w:pPr>
        <w:shd w:val="clear" w:color="auto" w:fill="FFFFFF"/>
        <w:spacing w:line="312" w:lineRule="atLeast"/>
        <w:jc w:val="both"/>
        <w:rPr>
          <w:rFonts w:ascii="Tahoma" w:eastAsia="Times New Roman" w:hAnsi="Tahoma" w:cs="Tahoma"/>
          <w:i/>
          <w:sz w:val="24"/>
          <w:szCs w:val="24"/>
          <w:lang w:val="en-US" w:eastAsia="nl-BE"/>
        </w:rPr>
      </w:pPr>
      <w:r w:rsidRPr="00E43EDA">
        <w:rPr>
          <w:rFonts w:ascii="Tahoma" w:eastAsia="Times New Roman" w:hAnsi="Tahoma" w:cs="Tahoma"/>
          <w:i/>
          <w:sz w:val="24"/>
          <w:szCs w:val="24"/>
          <w:lang w:val="en-US" w:eastAsia="nl-BE"/>
        </w:rPr>
        <w:t>(b) The Committee invites the Government to, in the future, consider, within the framework of social dialogue, the principles set forth in the conclusions regarding collective bargaining in the event of economic difficulty or crisis.”</w:t>
      </w:r>
    </w:p>
    <w:p w:rsidR="0028238A" w:rsidRPr="00E43EDA" w:rsidRDefault="004F1A66" w:rsidP="00C15E74">
      <w:pPr>
        <w:shd w:val="clear" w:color="auto" w:fill="FFFFFF"/>
        <w:spacing w:line="312" w:lineRule="atLeast"/>
        <w:jc w:val="both"/>
        <w:rPr>
          <w:rFonts w:ascii="Tahoma" w:eastAsia="Times New Roman" w:hAnsi="Tahoma" w:cs="Tahoma"/>
          <w:sz w:val="24"/>
          <w:szCs w:val="24"/>
          <w:lang w:val="en-US" w:eastAsia="nl-BE"/>
        </w:rPr>
      </w:pPr>
      <w:r w:rsidRPr="00E43EDA">
        <w:rPr>
          <w:rFonts w:ascii="Tahoma" w:eastAsia="Times New Roman" w:hAnsi="Tahoma" w:cs="Tahoma"/>
          <w:sz w:val="24"/>
          <w:szCs w:val="24"/>
          <w:lang w:val="en-US" w:eastAsia="nl-BE"/>
        </w:rPr>
        <w:t xml:space="preserve">Obviously, a similar report could have been made for Belgium where no </w:t>
      </w:r>
      <w:r w:rsidR="0028238A" w:rsidRPr="00E43EDA">
        <w:rPr>
          <w:rFonts w:ascii="Tahoma" w:eastAsia="Times New Roman" w:hAnsi="Tahoma" w:cs="Tahoma"/>
          <w:sz w:val="24"/>
          <w:szCs w:val="24"/>
          <w:lang w:val="en-US" w:eastAsia="nl-BE"/>
        </w:rPr>
        <w:t xml:space="preserve">real </w:t>
      </w:r>
      <w:r w:rsidRPr="00E43EDA">
        <w:rPr>
          <w:rFonts w:ascii="Tahoma" w:eastAsia="Times New Roman" w:hAnsi="Tahoma" w:cs="Tahoma"/>
          <w:sz w:val="24"/>
          <w:szCs w:val="24"/>
          <w:lang w:val="en-US" w:eastAsia="nl-BE"/>
        </w:rPr>
        <w:t xml:space="preserve">collective negotiations </w:t>
      </w:r>
      <w:r w:rsidR="009B57E6" w:rsidRPr="00E43EDA">
        <w:rPr>
          <w:rFonts w:ascii="Tahoma" w:eastAsia="Times New Roman" w:hAnsi="Tahoma" w:cs="Tahoma"/>
          <w:sz w:val="24"/>
          <w:szCs w:val="24"/>
          <w:lang w:val="en-US" w:eastAsia="nl-BE"/>
        </w:rPr>
        <w:t xml:space="preserve">were held </w:t>
      </w:r>
      <w:r w:rsidRPr="00E43EDA">
        <w:rPr>
          <w:rFonts w:ascii="Tahoma" w:eastAsia="Times New Roman" w:hAnsi="Tahoma" w:cs="Tahoma"/>
          <w:sz w:val="24"/>
          <w:szCs w:val="24"/>
          <w:lang w:val="en-US" w:eastAsia="nl-BE"/>
        </w:rPr>
        <w:t xml:space="preserve">although it is mandatory under </w:t>
      </w:r>
      <w:r w:rsidR="00DF7A36" w:rsidRPr="00E43EDA">
        <w:rPr>
          <w:rFonts w:ascii="Tahoma" w:eastAsia="Times New Roman" w:hAnsi="Tahoma" w:cs="Tahoma"/>
          <w:sz w:val="24"/>
          <w:szCs w:val="24"/>
          <w:lang w:val="en-US" w:eastAsia="nl-BE"/>
        </w:rPr>
        <w:t>t</w:t>
      </w:r>
      <w:r w:rsidRPr="00E43EDA">
        <w:rPr>
          <w:rFonts w:ascii="Tahoma" w:eastAsia="Times New Roman" w:hAnsi="Tahoma" w:cs="Tahoma"/>
          <w:sz w:val="24"/>
          <w:szCs w:val="24"/>
          <w:lang w:val="en-US" w:eastAsia="nl-BE"/>
        </w:rPr>
        <w:t xml:space="preserve">he Act of 19 December 1974 </w:t>
      </w:r>
      <w:proofErr w:type="gramStart"/>
      <w:r w:rsidRPr="00E43EDA">
        <w:rPr>
          <w:rFonts w:ascii="Tahoma" w:eastAsia="Times New Roman" w:hAnsi="Tahoma" w:cs="Tahoma"/>
          <w:sz w:val="24"/>
          <w:szCs w:val="24"/>
          <w:lang w:val="en-US" w:eastAsia="nl-BE"/>
        </w:rPr>
        <w:t>were</w:t>
      </w:r>
      <w:proofErr w:type="gramEnd"/>
      <w:r w:rsidRPr="00E43EDA">
        <w:rPr>
          <w:rFonts w:ascii="Tahoma" w:eastAsia="Times New Roman" w:hAnsi="Tahoma" w:cs="Tahoma"/>
          <w:sz w:val="24"/>
          <w:szCs w:val="24"/>
          <w:lang w:val="en-US" w:eastAsia="nl-BE"/>
        </w:rPr>
        <w:t xml:space="preserve"> held. </w:t>
      </w:r>
      <w:r w:rsidR="009879A8">
        <w:rPr>
          <w:rFonts w:ascii="Tahoma" w:eastAsia="Times New Roman" w:hAnsi="Tahoma" w:cs="Tahoma"/>
          <w:sz w:val="24"/>
          <w:szCs w:val="24"/>
          <w:lang w:val="en-US" w:eastAsia="nl-BE"/>
        </w:rPr>
        <w:t>As said, t</w:t>
      </w:r>
      <w:r w:rsidRPr="00E43EDA">
        <w:rPr>
          <w:rFonts w:ascii="Tahoma" w:eastAsia="Times New Roman" w:hAnsi="Tahoma" w:cs="Tahoma"/>
          <w:sz w:val="24"/>
          <w:szCs w:val="24"/>
          <w:lang w:val="en-US" w:eastAsia="nl-BE"/>
        </w:rPr>
        <w:t xml:space="preserve">he </w:t>
      </w:r>
      <w:r w:rsidR="00511C8B" w:rsidRPr="00E43EDA">
        <w:rPr>
          <w:rFonts w:ascii="Tahoma" w:eastAsia="Times New Roman" w:hAnsi="Tahoma" w:cs="Tahoma"/>
          <w:sz w:val="24"/>
          <w:szCs w:val="24"/>
          <w:lang w:val="en-US" w:eastAsia="nl-BE"/>
        </w:rPr>
        <w:t>government</w:t>
      </w:r>
      <w:r w:rsidRPr="00E43EDA">
        <w:rPr>
          <w:rFonts w:ascii="Tahoma" w:eastAsia="Times New Roman" w:hAnsi="Tahoma" w:cs="Tahoma"/>
          <w:sz w:val="24"/>
          <w:szCs w:val="24"/>
          <w:lang w:val="en-US" w:eastAsia="nl-BE"/>
        </w:rPr>
        <w:t xml:space="preserve"> used a legal trick </w:t>
      </w:r>
      <w:r w:rsidR="009B57E6" w:rsidRPr="00E43EDA">
        <w:rPr>
          <w:rFonts w:ascii="Tahoma" w:eastAsia="Times New Roman" w:hAnsi="Tahoma" w:cs="Tahoma"/>
          <w:sz w:val="24"/>
          <w:szCs w:val="24"/>
          <w:lang w:val="en-US" w:eastAsia="nl-BE"/>
        </w:rPr>
        <w:t xml:space="preserve">in order </w:t>
      </w:r>
      <w:r w:rsidRPr="00E43EDA">
        <w:rPr>
          <w:rFonts w:ascii="Tahoma" w:eastAsia="Times New Roman" w:hAnsi="Tahoma" w:cs="Tahoma"/>
          <w:sz w:val="24"/>
          <w:szCs w:val="24"/>
          <w:lang w:val="en-US" w:eastAsia="nl-BE"/>
        </w:rPr>
        <w:t xml:space="preserve">not to have to </w:t>
      </w:r>
      <w:r w:rsidR="0021264A" w:rsidRPr="00E43EDA">
        <w:rPr>
          <w:rFonts w:ascii="Tahoma" w:eastAsia="Times New Roman" w:hAnsi="Tahoma" w:cs="Tahoma"/>
          <w:sz w:val="24"/>
          <w:szCs w:val="24"/>
          <w:lang w:val="en-US" w:eastAsia="nl-BE"/>
        </w:rPr>
        <w:t>negotiate</w:t>
      </w:r>
      <w:r w:rsidR="0028238A" w:rsidRPr="00E43EDA">
        <w:rPr>
          <w:rFonts w:ascii="Tahoma" w:eastAsia="Times New Roman" w:hAnsi="Tahoma" w:cs="Tahoma"/>
          <w:sz w:val="24"/>
          <w:szCs w:val="24"/>
          <w:lang w:val="en-US" w:eastAsia="nl-BE"/>
        </w:rPr>
        <w:t xml:space="preserve"> on the </w:t>
      </w:r>
      <w:proofErr w:type="gramStart"/>
      <w:r w:rsidR="0028238A" w:rsidRPr="00E43EDA">
        <w:rPr>
          <w:rFonts w:ascii="Tahoma" w:eastAsia="Times New Roman" w:hAnsi="Tahoma" w:cs="Tahoma"/>
          <w:sz w:val="24"/>
          <w:szCs w:val="24"/>
          <w:lang w:val="en-US" w:eastAsia="nl-BE"/>
        </w:rPr>
        <w:t>content</w:t>
      </w:r>
      <w:r w:rsidR="0021264A" w:rsidRPr="00E43EDA">
        <w:rPr>
          <w:rFonts w:ascii="Tahoma" w:eastAsia="Times New Roman" w:hAnsi="Tahoma" w:cs="Tahoma"/>
          <w:sz w:val="24"/>
          <w:szCs w:val="24"/>
          <w:lang w:val="en-US" w:eastAsia="nl-BE"/>
        </w:rPr>
        <w:t xml:space="preserve"> which</w:t>
      </w:r>
      <w:proofErr w:type="gramEnd"/>
      <w:r w:rsidR="0021264A" w:rsidRPr="00E43EDA">
        <w:rPr>
          <w:rFonts w:ascii="Tahoma" w:eastAsia="Times New Roman" w:hAnsi="Tahoma" w:cs="Tahoma"/>
          <w:sz w:val="24"/>
          <w:szCs w:val="24"/>
          <w:lang w:val="en-US" w:eastAsia="nl-BE"/>
        </w:rPr>
        <w:t xml:space="preserve"> stands in a very difficult </w:t>
      </w:r>
      <w:r w:rsidR="00DF7A36" w:rsidRPr="00E43EDA">
        <w:rPr>
          <w:rFonts w:ascii="Tahoma" w:eastAsia="Times New Roman" w:hAnsi="Tahoma" w:cs="Tahoma"/>
          <w:sz w:val="24"/>
          <w:szCs w:val="24"/>
          <w:lang w:val="en-US" w:eastAsia="nl-BE"/>
        </w:rPr>
        <w:t xml:space="preserve">balance with its obligations under article 7 of the ILO-Convention nr. 151. </w:t>
      </w:r>
    </w:p>
    <w:p w:rsidR="004F1A66" w:rsidRDefault="00DF7A36" w:rsidP="00C15E74">
      <w:pPr>
        <w:shd w:val="clear" w:color="auto" w:fill="FFFFFF"/>
        <w:spacing w:line="312" w:lineRule="atLeast"/>
        <w:jc w:val="both"/>
        <w:rPr>
          <w:rFonts w:ascii="Tahoma" w:eastAsia="Times New Roman" w:hAnsi="Tahoma" w:cs="Tahoma"/>
          <w:sz w:val="24"/>
          <w:szCs w:val="24"/>
          <w:lang w:val="en-US" w:eastAsia="nl-BE"/>
        </w:rPr>
      </w:pPr>
      <w:r w:rsidRPr="00E43EDA">
        <w:rPr>
          <w:rFonts w:ascii="Tahoma" w:eastAsia="Times New Roman" w:hAnsi="Tahoma" w:cs="Tahoma"/>
          <w:sz w:val="24"/>
          <w:szCs w:val="24"/>
          <w:lang w:val="en-US" w:eastAsia="nl-BE"/>
        </w:rPr>
        <w:t>In the Ne</w:t>
      </w:r>
      <w:r w:rsidR="009B57E6" w:rsidRPr="00E43EDA">
        <w:rPr>
          <w:rFonts w:ascii="Tahoma" w:eastAsia="Times New Roman" w:hAnsi="Tahoma" w:cs="Tahoma"/>
          <w:sz w:val="24"/>
          <w:szCs w:val="24"/>
          <w:lang w:val="en-US" w:eastAsia="nl-BE"/>
        </w:rPr>
        <w:t>t</w:t>
      </w:r>
      <w:r w:rsidRPr="00E43EDA">
        <w:rPr>
          <w:rFonts w:ascii="Tahoma" w:eastAsia="Times New Roman" w:hAnsi="Tahoma" w:cs="Tahoma"/>
          <w:sz w:val="24"/>
          <w:szCs w:val="24"/>
          <w:lang w:val="en-US" w:eastAsia="nl-BE"/>
        </w:rPr>
        <w:t xml:space="preserve">herlands, similarly, full development and utilisation of </w:t>
      </w:r>
      <w:r w:rsidR="009879A8">
        <w:rPr>
          <w:rFonts w:ascii="Tahoma" w:eastAsia="Times New Roman" w:hAnsi="Tahoma" w:cs="Tahoma"/>
          <w:sz w:val="24"/>
          <w:szCs w:val="24"/>
          <w:lang w:val="en-US" w:eastAsia="nl-BE"/>
        </w:rPr>
        <w:t>the mechanism</w:t>
      </w:r>
      <w:r w:rsidRPr="00E43EDA">
        <w:rPr>
          <w:rFonts w:ascii="Tahoma" w:eastAsia="Times New Roman" w:hAnsi="Tahoma" w:cs="Tahoma"/>
          <w:sz w:val="24"/>
          <w:szCs w:val="24"/>
          <w:lang w:val="en-US" w:eastAsia="nl-BE"/>
        </w:rPr>
        <w:t xml:space="preserve"> of </w:t>
      </w:r>
      <w:r w:rsidR="00385915">
        <w:rPr>
          <w:rFonts w:ascii="Tahoma" w:eastAsia="Times New Roman" w:hAnsi="Tahoma" w:cs="Tahoma"/>
          <w:sz w:val="24"/>
          <w:szCs w:val="24"/>
          <w:lang w:val="en-US" w:eastAsia="nl-BE"/>
        </w:rPr>
        <w:t>collective</w:t>
      </w:r>
      <w:r w:rsidR="009879A8">
        <w:rPr>
          <w:rFonts w:ascii="Tahoma" w:eastAsia="Times New Roman" w:hAnsi="Tahoma" w:cs="Tahoma"/>
          <w:sz w:val="24"/>
          <w:szCs w:val="24"/>
          <w:lang w:val="en-US" w:eastAsia="nl-BE"/>
        </w:rPr>
        <w:t xml:space="preserve"> </w:t>
      </w:r>
      <w:r w:rsidRPr="00E43EDA">
        <w:rPr>
          <w:rFonts w:ascii="Tahoma" w:eastAsia="Times New Roman" w:hAnsi="Tahoma" w:cs="Tahoma"/>
          <w:sz w:val="24"/>
          <w:szCs w:val="24"/>
          <w:lang w:val="en-US" w:eastAsia="nl-BE"/>
        </w:rPr>
        <w:t xml:space="preserve">negotiations was blocked by the </w:t>
      </w:r>
      <w:r w:rsidR="0028238A" w:rsidRPr="00E43EDA">
        <w:rPr>
          <w:rFonts w:ascii="Tahoma" w:eastAsia="Times New Roman" w:hAnsi="Tahoma" w:cs="Tahoma"/>
          <w:sz w:val="24"/>
          <w:szCs w:val="24"/>
          <w:lang w:val="en-US" w:eastAsia="nl-BE"/>
        </w:rPr>
        <w:t xml:space="preserve">declaration </w:t>
      </w:r>
      <w:r w:rsidRPr="00E43EDA">
        <w:rPr>
          <w:rFonts w:ascii="Tahoma" w:eastAsia="Times New Roman" w:hAnsi="Tahoma" w:cs="Tahoma"/>
          <w:sz w:val="24"/>
          <w:szCs w:val="24"/>
          <w:lang w:val="en-US" w:eastAsia="nl-BE"/>
        </w:rPr>
        <w:t xml:space="preserve">of the </w:t>
      </w:r>
      <w:r w:rsidR="00511C8B" w:rsidRPr="00E43EDA">
        <w:rPr>
          <w:rFonts w:ascii="Tahoma" w:eastAsia="Times New Roman" w:hAnsi="Tahoma" w:cs="Tahoma"/>
          <w:sz w:val="24"/>
          <w:szCs w:val="24"/>
          <w:lang w:val="en-US" w:eastAsia="nl-BE"/>
        </w:rPr>
        <w:t>government</w:t>
      </w:r>
      <w:r w:rsidR="0028238A" w:rsidRPr="00E43EDA">
        <w:rPr>
          <w:rFonts w:ascii="Tahoma" w:eastAsia="Times New Roman" w:hAnsi="Tahoma" w:cs="Tahoma"/>
          <w:sz w:val="24"/>
          <w:szCs w:val="24"/>
          <w:lang w:val="en-US" w:eastAsia="nl-BE"/>
        </w:rPr>
        <w:t xml:space="preserve"> to freeze the wages before real negotiations were started.</w:t>
      </w:r>
      <w:r w:rsidRPr="00E43EDA">
        <w:rPr>
          <w:rFonts w:ascii="Tahoma" w:eastAsia="Times New Roman" w:hAnsi="Tahoma" w:cs="Tahoma"/>
          <w:sz w:val="24"/>
          <w:szCs w:val="24"/>
          <w:lang w:val="en-US" w:eastAsia="nl-BE"/>
        </w:rPr>
        <w:t xml:space="preserve"> In the Netherlands, as in Belgium and Spain, it seems that </w:t>
      </w:r>
      <w:r w:rsidR="0028238A" w:rsidRPr="00E43EDA">
        <w:rPr>
          <w:rFonts w:ascii="Tahoma" w:eastAsia="Times New Roman" w:hAnsi="Tahoma" w:cs="Tahoma"/>
          <w:sz w:val="24"/>
          <w:szCs w:val="24"/>
          <w:lang w:val="en-US" w:eastAsia="nl-BE"/>
        </w:rPr>
        <w:t xml:space="preserve">the EU accepts that </w:t>
      </w:r>
      <w:r w:rsidRPr="00E43EDA">
        <w:rPr>
          <w:rFonts w:ascii="Tahoma" w:eastAsia="Times New Roman" w:hAnsi="Tahoma" w:cs="Tahoma"/>
          <w:sz w:val="24"/>
          <w:szCs w:val="24"/>
          <w:lang w:val="en-US" w:eastAsia="nl-BE"/>
        </w:rPr>
        <w:t xml:space="preserve">important economic and financial reasons allowed </w:t>
      </w:r>
      <w:r w:rsidR="00340B3A" w:rsidRPr="00E43EDA">
        <w:rPr>
          <w:rFonts w:ascii="Tahoma" w:eastAsia="Times New Roman" w:hAnsi="Tahoma" w:cs="Tahoma"/>
          <w:sz w:val="24"/>
          <w:szCs w:val="24"/>
          <w:lang w:val="en-US" w:eastAsia="nl-BE"/>
        </w:rPr>
        <w:t>governments to cut not just in the budget but also in a normal application of the collective bargaining model.</w:t>
      </w:r>
      <w:r w:rsidR="0028238A" w:rsidRPr="00E43EDA">
        <w:rPr>
          <w:rFonts w:ascii="Tahoma" w:eastAsia="Times New Roman" w:hAnsi="Tahoma" w:cs="Tahoma"/>
          <w:sz w:val="24"/>
          <w:szCs w:val="24"/>
          <w:lang w:val="en-US" w:eastAsia="nl-BE"/>
        </w:rPr>
        <w:t xml:space="preserve"> However, given the fact that all three countries ratified ILO nr. 151</w:t>
      </w:r>
      <w:proofErr w:type="gramStart"/>
      <w:r w:rsidR="0028238A" w:rsidRPr="00E43EDA">
        <w:rPr>
          <w:rFonts w:ascii="Tahoma" w:eastAsia="Times New Roman" w:hAnsi="Tahoma" w:cs="Tahoma"/>
          <w:sz w:val="24"/>
          <w:szCs w:val="24"/>
          <w:lang w:val="en-US" w:eastAsia="nl-BE"/>
        </w:rPr>
        <w:t xml:space="preserve">, </w:t>
      </w:r>
      <w:r w:rsidR="00340B3A" w:rsidRPr="00E43EDA">
        <w:rPr>
          <w:rFonts w:ascii="Tahoma" w:eastAsia="Times New Roman" w:hAnsi="Tahoma" w:cs="Tahoma"/>
          <w:sz w:val="24"/>
          <w:szCs w:val="24"/>
          <w:lang w:val="en-US" w:eastAsia="nl-BE"/>
        </w:rPr>
        <w:t xml:space="preserve"> </w:t>
      </w:r>
      <w:r w:rsidR="0028238A" w:rsidRPr="00E43EDA">
        <w:rPr>
          <w:rFonts w:ascii="Tahoma" w:eastAsia="Times New Roman" w:hAnsi="Tahoma" w:cs="Tahoma"/>
          <w:sz w:val="24"/>
          <w:szCs w:val="24"/>
          <w:lang w:val="en-US" w:eastAsia="nl-BE"/>
        </w:rPr>
        <w:t>it</w:t>
      </w:r>
      <w:proofErr w:type="gramEnd"/>
      <w:r w:rsidR="0028238A" w:rsidRPr="00E43EDA">
        <w:rPr>
          <w:rFonts w:ascii="Tahoma" w:eastAsia="Times New Roman" w:hAnsi="Tahoma" w:cs="Tahoma"/>
          <w:sz w:val="24"/>
          <w:szCs w:val="24"/>
          <w:lang w:val="en-US" w:eastAsia="nl-BE"/>
        </w:rPr>
        <w:t xml:space="preserve"> seems important to stress that similar remarks could be plausible for Belgium and the Netherlands.</w:t>
      </w:r>
      <w:r w:rsidR="009879A8">
        <w:rPr>
          <w:rFonts w:ascii="Tahoma" w:eastAsia="Times New Roman" w:hAnsi="Tahoma" w:cs="Tahoma"/>
          <w:sz w:val="24"/>
          <w:szCs w:val="24"/>
          <w:lang w:val="en-US" w:eastAsia="nl-BE"/>
        </w:rPr>
        <w:t xml:space="preserve"> It would be a good idea if the EU includes such an analysis in its control reports. </w:t>
      </w:r>
    </w:p>
    <w:p w:rsidR="00E43EDA" w:rsidRPr="00E43EDA" w:rsidRDefault="00E43EDA" w:rsidP="00C15E74">
      <w:pPr>
        <w:shd w:val="clear" w:color="auto" w:fill="FFFFFF"/>
        <w:spacing w:line="312" w:lineRule="atLeast"/>
        <w:jc w:val="both"/>
        <w:rPr>
          <w:rFonts w:ascii="Tahoma" w:eastAsia="Times New Roman" w:hAnsi="Tahoma" w:cs="Tahoma"/>
          <w:sz w:val="24"/>
          <w:szCs w:val="24"/>
          <w:lang w:val="en-US" w:eastAsia="nl-BE"/>
        </w:rPr>
      </w:pPr>
      <w:r>
        <w:rPr>
          <w:rFonts w:ascii="Tahoma" w:eastAsia="Times New Roman" w:hAnsi="Tahoma" w:cs="Tahoma"/>
          <w:sz w:val="24"/>
          <w:szCs w:val="24"/>
          <w:lang w:val="en-US" w:eastAsia="nl-BE"/>
        </w:rPr>
        <w:lastRenderedPageBreak/>
        <w:t>A report of the ILO is</w:t>
      </w:r>
      <w:r w:rsidR="009879A8">
        <w:rPr>
          <w:rFonts w:ascii="Tahoma" w:eastAsia="Times New Roman" w:hAnsi="Tahoma" w:cs="Tahoma"/>
          <w:sz w:val="24"/>
          <w:szCs w:val="24"/>
          <w:lang w:val="en-US" w:eastAsia="nl-BE"/>
        </w:rPr>
        <w:t xml:space="preserve">, as we all know, </w:t>
      </w:r>
      <w:r>
        <w:rPr>
          <w:rFonts w:ascii="Tahoma" w:eastAsia="Times New Roman" w:hAnsi="Tahoma" w:cs="Tahoma"/>
          <w:sz w:val="24"/>
          <w:szCs w:val="24"/>
          <w:lang w:val="en-US" w:eastAsia="nl-BE"/>
        </w:rPr>
        <w:t xml:space="preserve">legally not strong enough to change the current ignorance of social rights. Pressing economic issues seem to prevail. </w:t>
      </w:r>
    </w:p>
    <w:p w:rsidR="008E458F" w:rsidRPr="00E43EDA" w:rsidRDefault="00340B3A" w:rsidP="002F6413">
      <w:pPr>
        <w:pStyle w:val="ListParagraph"/>
        <w:numPr>
          <w:ilvl w:val="0"/>
          <w:numId w:val="8"/>
        </w:numPr>
        <w:jc w:val="both"/>
        <w:rPr>
          <w:rFonts w:ascii="Tahoma" w:hAnsi="Tahoma" w:cs="Tahoma"/>
          <w:sz w:val="24"/>
          <w:szCs w:val="24"/>
          <w:lang w:val="en-US"/>
        </w:rPr>
      </w:pPr>
      <w:r w:rsidRPr="00E43EDA">
        <w:rPr>
          <w:rFonts w:ascii="Tahoma" w:hAnsi="Tahoma" w:cs="Tahoma"/>
          <w:sz w:val="24"/>
          <w:szCs w:val="24"/>
          <w:lang w:val="en-US"/>
        </w:rPr>
        <w:t xml:space="preserve">The role of the EU in this </w:t>
      </w:r>
      <w:r w:rsidR="00C97A0A" w:rsidRPr="00E43EDA">
        <w:rPr>
          <w:rFonts w:ascii="Tahoma" w:hAnsi="Tahoma" w:cs="Tahoma"/>
          <w:sz w:val="24"/>
          <w:szCs w:val="24"/>
          <w:lang w:val="en-US"/>
        </w:rPr>
        <w:t>debate</w:t>
      </w:r>
    </w:p>
    <w:p w:rsidR="00C97A0A" w:rsidRPr="00E43EDA" w:rsidRDefault="00C97A0A" w:rsidP="002F6413">
      <w:pPr>
        <w:jc w:val="both"/>
        <w:rPr>
          <w:rFonts w:ascii="Tahoma" w:hAnsi="Tahoma" w:cs="Tahoma"/>
          <w:sz w:val="24"/>
          <w:szCs w:val="24"/>
          <w:lang w:val="en-US"/>
        </w:rPr>
      </w:pPr>
      <w:r w:rsidRPr="00E43EDA">
        <w:rPr>
          <w:rFonts w:ascii="Tahoma" w:hAnsi="Tahoma" w:cs="Tahoma"/>
          <w:sz w:val="24"/>
          <w:szCs w:val="24"/>
          <w:lang w:val="en-US"/>
        </w:rPr>
        <w:t xml:space="preserve">The review of the recovery programmes concerning Spain and Portugal </w:t>
      </w:r>
      <w:r w:rsidR="009122BF" w:rsidRPr="00E43EDA">
        <w:rPr>
          <w:rFonts w:ascii="Tahoma" w:hAnsi="Tahoma" w:cs="Tahoma"/>
          <w:sz w:val="24"/>
          <w:szCs w:val="24"/>
          <w:lang w:val="en-US"/>
        </w:rPr>
        <w:t xml:space="preserve">does not include any indication how these economic and financial measures need to be </w:t>
      </w:r>
      <w:r w:rsidR="00511C8B" w:rsidRPr="00E43EDA">
        <w:rPr>
          <w:rFonts w:ascii="Tahoma" w:hAnsi="Tahoma" w:cs="Tahoma"/>
          <w:sz w:val="24"/>
          <w:szCs w:val="24"/>
          <w:lang w:val="en-US"/>
        </w:rPr>
        <w:t>reconciled</w:t>
      </w:r>
      <w:r w:rsidR="0028238A" w:rsidRPr="00E43EDA">
        <w:rPr>
          <w:rFonts w:ascii="Tahoma" w:hAnsi="Tahoma" w:cs="Tahoma"/>
          <w:sz w:val="24"/>
          <w:szCs w:val="24"/>
          <w:lang w:val="en-US"/>
        </w:rPr>
        <w:t xml:space="preserve"> with the legal framework </w:t>
      </w:r>
      <w:r w:rsidR="00385915">
        <w:rPr>
          <w:rFonts w:ascii="Tahoma" w:hAnsi="Tahoma" w:cs="Tahoma"/>
          <w:sz w:val="24"/>
          <w:szCs w:val="24"/>
          <w:lang w:val="en-US"/>
        </w:rPr>
        <w:t>wherein</w:t>
      </w:r>
      <w:r w:rsidR="009879A8">
        <w:rPr>
          <w:rFonts w:ascii="Tahoma" w:hAnsi="Tahoma" w:cs="Tahoma"/>
          <w:sz w:val="24"/>
          <w:szCs w:val="24"/>
          <w:lang w:val="en-US"/>
        </w:rPr>
        <w:t xml:space="preserve"> </w:t>
      </w:r>
      <w:r w:rsidR="009122BF" w:rsidRPr="00E43EDA">
        <w:rPr>
          <w:rFonts w:ascii="Tahoma" w:hAnsi="Tahoma" w:cs="Tahoma"/>
          <w:sz w:val="24"/>
          <w:szCs w:val="24"/>
          <w:lang w:val="en-US"/>
        </w:rPr>
        <w:t xml:space="preserve">the Member States need to act. </w:t>
      </w:r>
      <w:r w:rsidR="0028238A" w:rsidRPr="00E43EDA">
        <w:rPr>
          <w:rFonts w:ascii="Tahoma" w:hAnsi="Tahoma" w:cs="Tahoma"/>
          <w:sz w:val="24"/>
          <w:szCs w:val="24"/>
          <w:lang w:val="en-US"/>
        </w:rPr>
        <w:t>The reports on Belgium and the Netherlands do not mention the legal obligations of these Member States with regard to collective negotiations either.</w:t>
      </w:r>
    </w:p>
    <w:p w:rsidR="0028238A" w:rsidRPr="00E43EDA" w:rsidRDefault="009122BF" w:rsidP="002F6413">
      <w:pPr>
        <w:jc w:val="both"/>
        <w:rPr>
          <w:rFonts w:ascii="Tahoma" w:hAnsi="Tahoma" w:cs="Tahoma"/>
          <w:sz w:val="24"/>
          <w:szCs w:val="24"/>
          <w:lang w:val="en-US"/>
        </w:rPr>
      </w:pPr>
      <w:r w:rsidRPr="00E43EDA">
        <w:rPr>
          <w:rFonts w:ascii="Tahoma" w:hAnsi="Tahoma" w:cs="Tahoma"/>
          <w:sz w:val="24"/>
          <w:szCs w:val="24"/>
          <w:lang w:val="en-US"/>
        </w:rPr>
        <w:t>This evoluti</w:t>
      </w:r>
      <w:r w:rsidR="0028238A" w:rsidRPr="00E43EDA">
        <w:rPr>
          <w:rFonts w:ascii="Tahoma" w:hAnsi="Tahoma" w:cs="Tahoma"/>
          <w:sz w:val="24"/>
          <w:szCs w:val="24"/>
          <w:lang w:val="en-US"/>
        </w:rPr>
        <w:t>on seems to indicate that the European Commission</w:t>
      </w:r>
      <w:r w:rsidRPr="00E43EDA">
        <w:rPr>
          <w:rFonts w:ascii="Tahoma" w:hAnsi="Tahoma" w:cs="Tahoma"/>
          <w:sz w:val="24"/>
          <w:szCs w:val="24"/>
          <w:lang w:val="en-US"/>
        </w:rPr>
        <w:t xml:space="preserve"> does not intervene in how the different EU-Member States need to reconcile </w:t>
      </w:r>
      <w:r w:rsidR="00511C8B" w:rsidRPr="00E43EDA">
        <w:rPr>
          <w:rFonts w:ascii="Tahoma" w:hAnsi="Tahoma" w:cs="Tahoma"/>
          <w:sz w:val="24"/>
          <w:szCs w:val="24"/>
          <w:lang w:val="en-US"/>
        </w:rPr>
        <w:t>budgetary</w:t>
      </w:r>
      <w:r w:rsidRPr="00E43EDA">
        <w:rPr>
          <w:rFonts w:ascii="Tahoma" w:hAnsi="Tahoma" w:cs="Tahoma"/>
          <w:sz w:val="24"/>
          <w:szCs w:val="24"/>
          <w:lang w:val="en-US"/>
        </w:rPr>
        <w:t xml:space="preserve"> obligations, under pressure of the EU, with the existing (internal) legal framework. </w:t>
      </w:r>
      <w:r w:rsidR="0028238A" w:rsidRPr="00E43EDA">
        <w:rPr>
          <w:rFonts w:ascii="Tahoma" w:hAnsi="Tahoma" w:cs="Tahoma"/>
          <w:sz w:val="24"/>
          <w:szCs w:val="24"/>
          <w:lang w:val="en-US"/>
        </w:rPr>
        <w:t xml:space="preserve">However, article 28 of the Charter of Fundamental Rights of the EU states explicitly that collective bargaining is considered a fundamental right in the framework of the EU. From a legal </w:t>
      </w:r>
      <w:r w:rsidR="00511C8B" w:rsidRPr="00E43EDA">
        <w:rPr>
          <w:rFonts w:ascii="Tahoma" w:hAnsi="Tahoma" w:cs="Tahoma"/>
          <w:sz w:val="24"/>
          <w:szCs w:val="24"/>
          <w:lang w:val="en-US"/>
        </w:rPr>
        <w:t>perspective</w:t>
      </w:r>
      <w:r w:rsidR="0028238A" w:rsidRPr="00E43EDA">
        <w:rPr>
          <w:rFonts w:ascii="Tahoma" w:hAnsi="Tahoma" w:cs="Tahoma"/>
          <w:sz w:val="24"/>
          <w:szCs w:val="24"/>
          <w:lang w:val="en-US"/>
        </w:rPr>
        <w:t>, it seems evident that control on respect</w:t>
      </w:r>
      <w:r w:rsidR="009879A8">
        <w:rPr>
          <w:rFonts w:ascii="Tahoma" w:hAnsi="Tahoma" w:cs="Tahoma"/>
          <w:sz w:val="24"/>
          <w:szCs w:val="24"/>
          <w:lang w:val="en-US"/>
        </w:rPr>
        <w:t xml:space="preserve"> of these</w:t>
      </w:r>
      <w:r w:rsidR="0028238A" w:rsidRPr="00E43EDA">
        <w:rPr>
          <w:rFonts w:ascii="Tahoma" w:hAnsi="Tahoma" w:cs="Tahoma"/>
          <w:sz w:val="24"/>
          <w:szCs w:val="24"/>
          <w:lang w:val="en-US"/>
        </w:rPr>
        <w:t xml:space="preserve"> fundamental rights </w:t>
      </w:r>
      <w:r w:rsidR="009879A8">
        <w:rPr>
          <w:rFonts w:ascii="Tahoma" w:hAnsi="Tahoma" w:cs="Tahoma"/>
          <w:sz w:val="24"/>
          <w:szCs w:val="24"/>
          <w:lang w:val="en-US"/>
        </w:rPr>
        <w:t xml:space="preserve">constitutes an important element </w:t>
      </w:r>
      <w:r w:rsidR="0028238A" w:rsidRPr="00E43EDA">
        <w:rPr>
          <w:rFonts w:ascii="Tahoma" w:hAnsi="Tahoma" w:cs="Tahoma"/>
          <w:sz w:val="24"/>
          <w:szCs w:val="24"/>
          <w:lang w:val="en-US"/>
        </w:rPr>
        <w:t xml:space="preserve">in the reports of the European </w:t>
      </w:r>
      <w:r w:rsidR="00511C8B" w:rsidRPr="00E43EDA">
        <w:rPr>
          <w:rFonts w:ascii="Tahoma" w:hAnsi="Tahoma" w:cs="Tahoma"/>
          <w:sz w:val="24"/>
          <w:szCs w:val="24"/>
          <w:lang w:val="en-US"/>
        </w:rPr>
        <w:t>Commission</w:t>
      </w:r>
      <w:r w:rsidR="0028238A" w:rsidRPr="00E43EDA">
        <w:rPr>
          <w:rFonts w:ascii="Tahoma" w:hAnsi="Tahoma" w:cs="Tahoma"/>
          <w:sz w:val="24"/>
          <w:szCs w:val="24"/>
          <w:lang w:val="en-US"/>
        </w:rPr>
        <w:t xml:space="preserve"> with regard to adjustment programmes for Spain and Portugal</w:t>
      </w:r>
      <w:r w:rsidR="009879A8">
        <w:rPr>
          <w:rFonts w:ascii="Tahoma" w:hAnsi="Tahoma" w:cs="Tahoma"/>
          <w:sz w:val="24"/>
          <w:szCs w:val="24"/>
          <w:lang w:val="en-US"/>
        </w:rPr>
        <w:t xml:space="preserve"> and with regard to reports </w:t>
      </w:r>
      <w:r w:rsidR="00385915">
        <w:rPr>
          <w:rFonts w:ascii="Tahoma" w:hAnsi="Tahoma" w:cs="Tahoma"/>
          <w:sz w:val="24"/>
          <w:szCs w:val="24"/>
          <w:lang w:val="en-US"/>
        </w:rPr>
        <w:t>dealing</w:t>
      </w:r>
      <w:r w:rsidR="009879A8">
        <w:rPr>
          <w:rFonts w:ascii="Tahoma" w:hAnsi="Tahoma" w:cs="Tahoma"/>
          <w:sz w:val="24"/>
          <w:szCs w:val="24"/>
          <w:lang w:val="en-US"/>
        </w:rPr>
        <w:t xml:space="preserve"> with excessive state deficits</w:t>
      </w:r>
      <w:r w:rsidR="0028238A" w:rsidRPr="00E43EDA">
        <w:rPr>
          <w:rFonts w:ascii="Tahoma" w:hAnsi="Tahoma" w:cs="Tahoma"/>
          <w:sz w:val="24"/>
          <w:szCs w:val="24"/>
          <w:lang w:val="en-US"/>
        </w:rPr>
        <w:t xml:space="preserve">. </w:t>
      </w:r>
      <w:r w:rsidR="009879A8">
        <w:rPr>
          <w:rFonts w:ascii="Tahoma" w:hAnsi="Tahoma" w:cs="Tahoma"/>
          <w:sz w:val="24"/>
          <w:szCs w:val="24"/>
          <w:lang w:val="en-US"/>
        </w:rPr>
        <w:t>In reality, t</w:t>
      </w:r>
      <w:r w:rsidR="0028238A" w:rsidRPr="00E43EDA">
        <w:rPr>
          <w:rFonts w:ascii="Tahoma" w:hAnsi="Tahoma" w:cs="Tahoma"/>
          <w:sz w:val="24"/>
          <w:szCs w:val="24"/>
          <w:lang w:val="en-US"/>
        </w:rPr>
        <w:t xml:space="preserve">he reports are limited to an analysis of the </w:t>
      </w:r>
      <w:proofErr w:type="gramStart"/>
      <w:r w:rsidR="0028238A" w:rsidRPr="00E43EDA">
        <w:rPr>
          <w:rFonts w:ascii="Tahoma" w:hAnsi="Tahoma" w:cs="Tahoma"/>
          <w:sz w:val="24"/>
          <w:szCs w:val="24"/>
          <w:lang w:val="en-US"/>
        </w:rPr>
        <w:t>conditions which</w:t>
      </w:r>
      <w:proofErr w:type="gramEnd"/>
      <w:r w:rsidR="0028238A" w:rsidRPr="00E43EDA">
        <w:rPr>
          <w:rFonts w:ascii="Tahoma" w:hAnsi="Tahoma" w:cs="Tahoma"/>
          <w:sz w:val="24"/>
          <w:szCs w:val="24"/>
          <w:lang w:val="en-US"/>
        </w:rPr>
        <w:t xml:space="preserve"> were provided by the Memoranda of Understanding.</w:t>
      </w:r>
    </w:p>
    <w:p w:rsidR="0028238A" w:rsidRPr="00E43EDA" w:rsidRDefault="0028238A" w:rsidP="002F6413">
      <w:pPr>
        <w:jc w:val="both"/>
        <w:rPr>
          <w:rFonts w:ascii="Tahoma" w:hAnsi="Tahoma" w:cs="Tahoma"/>
          <w:sz w:val="24"/>
          <w:szCs w:val="24"/>
          <w:lang w:val="en-US"/>
        </w:rPr>
      </w:pPr>
      <w:r w:rsidRPr="00E43EDA">
        <w:rPr>
          <w:rFonts w:ascii="Tahoma" w:hAnsi="Tahoma" w:cs="Tahoma"/>
          <w:sz w:val="24"/>
          <w:szCs w:val="24"/>
          <w:lang w:val="en-US"/>
        </w:rPr>
        <w:t xml:space="preserve">The case law of the European Court of Justice could bring </w:t>
      </w:r>
      <w:r w:rsidR="009879A8">
        <w:rPr>
          <w:rFonts w:ascii="Tahoma" w:hAnsi="Tahoma" w:cs="Tahoma"/>
          <w:sz w:val="24"/>
          <w:szCs w:val="24"/>
          <w:lang w:val="en-US"/>
        </w:rPr>
        <w:t>the European Commission a better comprehension of its task</w:t>
      </w:r>
      <w:r w:rsidR="00CE6DB6" w:rsidRPr="00E43EDA">
        <w:rPr>
          <w:rFonts w:ascii="Tahoma" w:hAnsi="Tahoma" w:cs="Tahoma"/>
          <w:sz w:val="24"/>
          <w:szCs w:val="24"/>
          <w:lang w:val="en-US"/>
        </w:rPr>
        <w:t xml:space="preserve">. Obviously, no case has been started before the ECJ concerning this topic. The (potential) violations of regulations all concern national provisions or international </w:t>
      </w:r>
      <w:proofErr w:type="gramStart"/>
      <w:r w:rsidR="00CE6DB6" w:rsidRPr="00E43EDA">
        <w:rPr>
          <w:rFonts w:ascii="Tahoma" w:hAnsi="Tahoma" w:cs="Tahoma"/>
          <w:sz w:val="24"/>
          <w:szCs w:val="24"/>
          <w:lang w:val="en-US"/>
        </w:rPr>
        <w:t>provisions which</w:t>
      </w:r>
      <w:proofErr w:type="gramEnd"/>
      <w:r w:rsidR="00CE6DB6" w:rsidRPr="00E43EDA">
        <w:rPr>
          <w:rFonts w:ascii="Tahoma" w:hAnsi="Tahoma" w:cs="Tahoma"/>
          <w:sz w:val="24"/>
          <w:szCs w:val="24"/>
          <w:lang w:val="en-US"/>
        </w:rPr>
        <w:t xml:space="preserve"> constitute a part of other international treaties. </w:t>
      </w:r>
      <w:r w:rsidR="009879A8">
        <w:rPr>
          <w:rFonts w:ascii="Tahoma" w:hAnsi="Tahoma" w:cs="Tahoma"/>
          <w:sz w:val="24"/>
          <w:szCs w:val="24"/>
          <w:lang w:val="en-US"/>
        </w:rPr>
        <w:t>It does not concern the application of EU regulations.</w:t>
      </w:r>
    </w:p>
    <w:p w:rsidR="002D5960" w:rsidRPr="00E43EDA" w:rsidRDefault="009879A8" w:rsidP="002F6413">
      <w:pPr>
        <w:jc w:val="both"/>
        <w:rPr>
          <w:rFonts w:ascii="Tahoma" w:hAnsi="Tahoma" w:cs="Tahoma"/>
          <w:sz w:val="24"/>
          <w:szCs w:val="24"/>
          <w:lang w:val="en-US"/>
        </w:rPr>
      </w:pPr>
      <w:r>
        <w:rPr>
          <w:rFonts w:ascii="Tahoma" w:hAnsi="Tahoma" w:cs="Tahoma"/>
          <w:sz w:val="24"/>
          <w:szCs w:val="24"/>
          <w:lang w:val="en-US"/>
        </w:rPr>
        <w:t>However, it should be considered important to stress the role of some general principles in the case law of the ECJ.</w:t>
      </w:r>
      <w:r w:rsidR="009122BF" w:rsidRPr="00E43EDA">
        <w:rPr>
          <w:rFonts w:ascii="Tahoma" w:hAnsi="Tahoma" w:cs="Tahoma"/>
          <w:sz w:val="24"/>
          <w:szCs w:val="24"/>
          <w:lang w:val="en-US"/>
        </w:rPr>
        <w:t xml:space="preserve"> </w:t>
      </w:r>
      <w:r w:rsidR="008B346C" w:rsidRPr="00E43EDA">
        <w:rPr>
          <w:rFonts w:ascii="Tahoma" w:hAnsi="Tahoma" w:cs="Tahoma"/>
          <w:sz w:val="24"/>
          <w:szCs w:val="24"/>
          <w:lang w:val="en-US"/>
        </w:rPr>
        <w:t>The principle of legitimate expectations</w:t>
      </w:r>
      <w:r w:rsidR="009122BF" w:rsidRPr="00E43EDA">
        <w:rPr>
          <w:rFonts w:ascii="Tahoma" w:hAnsi="Tahoma" w:cs="Tahoma"/>
          <w:sz w:val="24"/>
          <w:szCs w:val="24"/>
          <w:lang w:val="en-US"/>
        </w:rPr>
        <w:t xml:space="preserve"> </w:t>
      </w:r>
      <w:r w:rsidR="008B346C" w:rsidRPr="00E43EDA">
        <w:rPr>
          <w:rFonts w:ascii="Tahoma" w:hAnsi="Tahoma" w:cs="Tahoma"/>
          <w:sz w:val="24"/>
          <w:szCs w:val="24"/>
          <w:lang w:val="en-US"/>
        </w:rPr>
        <w:t>is considered to be a basic principle of the EU l</w:t>
      </w:r>
      <w:r w:rsidR="009F4942" w:rsidRPr="00E43EDA">
        <w:rPr>
          <w:rFonts w:ascii="Tahoma" w:hAnsi="Tahoma" w:cs="Tahoma"/>
          <w:sz w:val="24"/>
          <w:szCs w:val="24"/>
          <w:lang w:val="en-US"/>
        </w:rPr>
        <w:t xml:space="preserve">egal order. The principle of legitimate expectations played a role for the retired Portuguese officials, when they were faced with a major cut in their </w:t>
      </w:r>
      <w:r w:rsidR="00853D17" w:rsidRPr="00E43EDA">
        <w:rPr>
          <w:rFonts w:ascii="Tahoma" w:hAnsi="Tahoma" w:cs="Tahoma"/>
          <w:sz w:val="24"/>
          <w:szCs w:val="24"/>
          <w:lang w:val="en-US"/>
        </w:rPr>
        <w:t>pensions. The Court of Justice recognises the legal weight of this principle with regard to the correct application of EU legislation. Individuals can invoke the principle of legitimate expectations before the Court of Justice in case the institutions of the EU</w:t>
      </w:r>
      <w:r w:rsidR="00140090" w:rsidRPr="00E43EDA">
        <w:rPr>
          <w:rFonts w:ascii="Tahoma" w:hAnsi="Tahoma" w:cs="Tahoma"/>
          <w:sz w:val="24"/>
          <w:szCs w:val="24"/>
          <w:lang w:val="en-US"/>
        </w:rPr>
        <w:t xml:space="preserve"> have </w:t>
      </w:r>
      <w:r w:rsidR="00511C8B" w:rsidRPr="00E43EDA">
        <w:rPr>
          <w:rFonts w:ascii="Tahoma" w:hAnsi="Tahoma" w:cs="Tahoma"/>
          <w:sz w:val="24"/>
          <w:szCs w:val="24"/>
          <w:lang w:val="en-US"/>
        </w:rPr>
        <w:t>provoked</w:t>
      </w:r>
      <w:r w:rsidR="00140090" w:rsidRPr="00E43EDA">
        <w:rPr>
          <w:rFonts w:ascii="Tahoma" w:hAnsi="Tahoma" w:cs="Tahoma"/>
          <w:sz w:val="24"/>
          <w:szCs w:val="24"/>
          <w:lang w:val="en-US"/>
        </w:rPr>
        <w:t xml:space="preserve"> such an </w:t>
      </w:r>
      <w:r w:rsidR="00511C8B" w:rsidRPr="00E43EDA">
        <w:rPr>
          <w:rFonts w:ascii="Tahoma" w:hAnsi="Tahoma" w:cs="Tahoma"/>
          <w:sz w:val="24"/>
          <w:szCs w:val="24"/>
          <w:lang w:val="en-US"/>
        </w:rPr>
        <w:t>expectations</w:t>
      </w:r>
      <w:r w:rsidR="00140090" w:rsidRPr="00E43EDA">
        <w:rPr>
          <w:rFonts w:ascii="Tahoma" w:hAnsi="Tahoma" w:cs="Tahoma"/>
          <w:sz w:val="24"/>
          <w:szCs w:val="24"/>
          <w:lang w:val="en-US"/>
        </w:rPr>
        <w:t xml:space="preserve"> for individuals. Legal scholarship even indicates that the Civil Service Tribunal judges the most frequently that the principle of </w:t>
      </w:r>
      <w:r w:rsidR="00511C8B" w:rsidRPr="00E43EDA">
        <w:rPr>
          <w:rFonts w:ascii="Tahoma" w:hAnsi="Tahoma" w:cs="Tahoma"/>
          <w:sz w:val="24"/>
          <w:szCs w:val="24"/>
          <w:lang w:val="en-US"/>
        </w:rPr>
        <w:t>legitimate</w:t>
      </w:r>
      <w:r w:rsidR="00140090" w:rsidRPr="00E43EDA">
        <w:rPr>
          <w:rFonts w:ascii="Tahoma" w:hAnsi="Tahoma" w:cs="Tahoma"/>
          <w:sz w:val="24"/>
          <w:szCs w:val="24"/>
          <w:lang w:val="en-US"/>
        </w:rPr>
        <w:t xml:space="preserve"> expectations has been violated.</w:t>
      </w:r>
      <w:r w:rsidR="00140090" w:rsidRPr="00E43EDA">
        <w:rPr>
          <w:rStyle w:val="FootnoteReference"/>
          <w:rFonts w:ascii="Tahoma" w:hAnsi="Tahoma" w:cs="Tahoma"/>
          <w:sz w:val="24"/>
          <w:szCs w:val="24"/>
          <w:lang w:val="en-US"/>
        </w:rPr>
        <w:footnoteReference w:id="44"/>
      </w:r>
      <w:r>
        <w:rPr>
          <w:rFonts w:ascii="Tahoma" w:hAnsi="Tahoma" w:cs="Tahoma"/>
          <w:sz w:val="24"/>
          <w:szCs w:val="24"/>
          <w:lang w:val="en-US"/>
        </w:rPr>
        <w:t xml:space="preserve"> The </w:t>
      </w:r>
      <w:r w:rsidR="004D13CB" w:rsidRPr="00E43EDA">
        <w:rPr>
          <w:rFonts w:ascii="Tahoma" w:hAnsi="Tahoma" w:cs="Tahoma"/>
          <w:sz w:val="24"/>
          <w:szCs w:val="24"/>
          <w:lang w:val="en-US"/>
        </w:rPr>
        <w:t xml:space="preserve">da Silva </w:t>
      </w:r>
      <w:r w:rsidR="00385915">
        <w:rPr>
          <w:rFonts w:ascii="Tahoma" w:hAnsi="Tahoma" w:cs="Tahoma"/>
          <w:sz w:val="24"/>
          <w:szCs w:val="24"/>
          <w:lang w:val="en-US"/>
        </w:rPr>
        <w:t>judgment</w:t>
      </w:r>
      <w:r>
        <w:rPr>
          <w:rFonts w:ascii="Tahoma" w:hAnsi="Tahoma" w:cs="Tahoma"/>
          <w:sz w:val="24"/>
          <w:szCs w:val="24"/>
          <w:lang w:val="en-US"/>
        </w:rPr>
        <w:t xml:space="preserve"> </w:t>
      </w:r>
      <w:r w:rsidR="004D13CB" w:rsidRPr="00E43EDA">
        <w:rPr>
          <w:rFonts w:ascii="Tahoma" w:hAnsi="Tahoma" w:cs="Tahoma"/>
          <w:sz w:val="24"/>
          <w:szCs w:val="24"/>
          <w:lang w:val="en-US"/>
        </w:rPr>
        <w:t xml:space="preserve">in 2007 can be quoted as an example that </w:t>
      </w:r>
      <w:proofErr w:type="gramStart"/>
      <w:r w:rsidR="004D13CB" w:rsidRPr="00E43EDA">
        <w:rPr>
          <w:rFonts w:ascii="Tahoma" w:hAnsi="Tahoma" w:cs="Tahoma"/>
          <w:sz w:val="24"/>
          <w:szCs w:val="24"/>
          <w:lang w:val="en-US"/>
        </w:rPr>
        <w:t>an</w:t>
      </w:r>
      <w:proofErr w:type="gramEnd"/>
      <w:r w:rsidR="004D13CB" w:rsidRPr="00E43EDA">
        <w:rPr>
          <w:rFonts w:ascii="Tahoma" w:hAnsi="Tahoma" w:cs="Tahoma"/>
          <w:sz w:val="24"/>
          <w:szCs w:val="24"/>
          <w:lang w:val="en-US"/>
        </w:rPr>
        <w:t xml:space="preserve"> EU-official </w:t>
      </w:r>
      <w:r w:rsidR="0098288E" w:rsidRPr="00E43EDA">
        <w:rPr>
          <w:rFonts w:ascii="Tahoma" w:hAnsi="Tahoma" w:cs="Tahoma"/>
          <w:sz w:val="24"/>
          <w:szCs w:val="24"/>
          <w:lang w:val="en-US"/>
        </w:rPr>
        <w:t>may be</w:t>
      </w:r>
      <w:r w:rsidR="004D13CB" w:rsidRPr="00E43EDA">
        <w:rPr>
          <w:rFonts w:ascii="Tahoma" w:hAnsi="Tahoma" w:cs="Tahoma"/>
          <w:sz w:val="24"/>
          <w:szCs w:val="24"/>
          <w:lang w:val="en-US"/>
        </w:rPr>
        <w:t xml:space="preserve"> entitled to </w:t>
      </w:r>
      <w:r w:rsidR="0098288E" w:rsidRPr="00E43EDA">
        <w:rPr>
          <w:rFonts w:ascii="Tahoma" w:hAnsi="Tahoma" w:cs="Tahoma"/>
          <w:sz w:val="24"/>
          <w:szCs w:val="24"/>
          <w:lang w:val="en-US"/>
        </w:rPr>
        <w:t xml:space="preserve">have legitimate </w:t>
      </w:r>
      <w:r w:rsidR="00511C8B" w:rsidRPr="00E43EDA">
        <w:rPr>
          <w:rFonts w:ascii="Tahoma" w:hAnsi="Tahoma" w:cs="Tahoma"/>
          <w:sz w:val="24"/>
          <w:szCs w:val="24"/>
          <w:lang w:val="en-US"/>
        </w:rPr>
        <w:t>expectations</w:t>
      </w:r>
      <w:r w:rsidR="0098288E" w:rsidRPr="00E43EDA">
        <w:rPr>
          <w:rFonts w:ascii="Tahoma" w:hAnsi="Tahoma" w:cs="Tahoma"/>
          <w:sz w:val="24"/>
          <w:szCs w:val="24"/>
          <w:lang w:val="en-US"/>
        </w:rPr>
        <w:t xml:space="preserve"> on a certain career</w:t>
      </w:r>
      <w:r w:rsidR="00140090" w:rsidRPr="00E43EDA">
        <w:rPr>
          <w:rFonts w:ascii="Tahoma" w:hAnsi="Tahoma" w:cs="Tahoma"/>
          <w:sz w:val="24"/>
          <w:szCs w:val="24"/>
          <w:lang w:val="en-US"/>
        </w:rPr>
        <w:t xml:space="preserve"> </w:t>
      </w:r>
      <w:r w:rsidR="0098288E" w:rsidRPr="00E43EDA">
        <w:rPr>
          <w:rFonts w:ascii="Tahoma" w:hAnsi="Tahoma" w:cs="Tahoma"/>
          <w:sz w:val="24"/>
          <w:szCs w:val="24"/>
          <w:lang w:val="en-US"/>
        </w:rPr>
        <w:t>perspective, which includes that a higher salary and a higher pension may be expected.</w:t>
      </w:r>
      <w:r w:rsidR="0098288E" w:rsidRPr="00E43EDA">
        <w:rPr>
          <w:rStyle w:val="FootnoteReference"/>
          <w:rFonts w:ascii="Tahoma" w:hAnsi="Tahoma" w:cs="Tahoma"/>
          <w:sz w:val="24"/>
          <w:szCs w:val="24"/>
          <w:lang w:val="en-US"/>
        </w:rPr>
        <w:footnoteReference w:id="45"/>
      </w:r>
      <w:r w:rsidR="0098288E" w:rsidRPr="00E43EDA">
        <w:rPr>
          <w:rFonts w:ascii="Tahoma" w:hAnsi="Tahoma" w:cs="Tahoma"/>
          <w:sz w:val="24"/>
          <w:szCs w:val="24"/>
          <w:lang w:val="en-US"/>
        </w:rPr>
        <w:t xml:space="preserve"> However, a similar principle is not taken into account </w:t>
      </w:r>
      <w:r>
        <w:rPr>
          <w:rFonts w:ascii="Tahoma" w:hAnsi="Tahoma" w:cs="Tahoma"/>
          <w:sz w:val="24"/>
          <w:szCs w:val="24"/>
          <w:lang w:val="en-US"/>
        </w:rPr>
        <w:t xml:space="preserve">by the European Commission </w:t>
      </w:r>
      <w:r w:rsidR="0098288E" w:rsidRPr="00E43EDA">
        <w:rPr>
          <w:rFonts w:ascii="Tahoma" w:hAnsi="Tahoma" w:cs="Tahoma"/>
          <w:sz w:val="24"/>
          <w:szCs w:val="24"/>
          <w:lang w:val="en-US"/>
        </w:rPr>
        <w:t xml:space="preserve">with regard to the analysis of </w:t>
      </w:r>
      <w:r w:rsidR="0098288E" w:rsidRPr="00E43EDA">
        <w:rPr>
          <w:rFonts w:ascii="Tahoma" w:hAnsi="Tahoma" w:cs="Tahoma"/>
          <w:sz w:val="24"/>
          <w:szCs w:val="24"/>
          <w:lang w:val="en-US"/>
        </w:rPr>
        <w:lastRenderedPageBreak/>
        <w:t xml:space="preserve">the mandatory </w:t>
      </w:r>
      <w:proofErr w:type="gramStart"/>
      <w:r w:rsidR="0098288E" w:rsidRPr="00E43EDA">
        <w:rPr>
          <w:rFonts w:ascii="Tahoma" w:hAnsi="Tahoma" w:cs="Tahoma"/>
          <w:sz w:val="24"/>
          <w:szCs w:val="24"/>
          <w:lang w:val="en-US"/>
        </w:rPr>
        <w:t>modifications which</w:t>
      </w:r>
      <w:proofErr w:type="gramEnd"/>
      <w:r w:rsidR="0098288E" w:rsidRPr="00E43EDA">
        <w:rPr>
          <w:rFonts w:ascii="Tahoma" w:hAnsi="Tahoma" w:cs="Tahoma"/>
          <w:sz w:val="24"/>
          <w:szCs w:val="24"/>
          <w:lang w:val="en-US"/>
        </w:rPr>
        <w:t xml:space="preserve"> have to executed in the Member States concerned. The European Commission, in its reviews of the ec</w:t>
      </w:r>
      <w:r w:rsidR="002D5960" w:rsidRPr="00E43EDA">
        <w:rPr>
          <w:rFonts w:ascii="Tahoma" w:hAnsi="Tahoma" w:cs="Tahoma"/>
          <w:sz w:val="24"/>
          <w:szCs w:val="24"/>
          <w:lang w:val="en-US"/>
        </w:rPr>
        <w:t>o</w:t>
      </w:r>
      <w:r w:rsidR="0098288E" w:rsidRPr="00E43EDA">
        <w:rPr>
          <w:rFonts w:ascii="Tahoma" w:hAnsi="Tahoma" w:cs="Tahoma"/>
          <w:sz w:val="24"/>
          <w:szCs w:val="24"/>
          <w:lang w:val="en-US"/>
        </w:rPr>
        <w:t>nomic and financial adjustment programme for Portugal, does not</w:t>
      </w:r>
      <w:r w:rsidR="002D5960" w:rsidRPr="00E43EDA">
        <w:rPr>
          <w:rFonts w:ascii="Tahoma" w:hAnsi="Tahoma" w:cs="Tahoma"/>
          <w:sz w:val="24"/>
          <w:szCs w:val="24"/>
          <w:lang w:val="en-US"/>
        </w:rPr>
        <w:t xml:space="preserve"> </w:t>
      </w:r>
      <w:r w:rsidR="00511C8B" w:rsidRPr="00E43EDA">
        <w:rPr>
          <w:rFonts w:ascii="Tahoma" w:hAnsi="Tahoma" w:cs="Tahoma"/>
          <w:sz w:val="24"/>
          <w:szCs w:val="24"/>
          <w:lang w:val="en-US"/>
        </w:rPr>
        <w:t>address</w:t>
      </w:r>
      <w:r w:rsidR="002D5960" w:rsidRPr="00E43EDA">
        <w:rPr>
          <w:rFonts w:ascii="Tahoma" w:hAnsi="Tahoma" w:cs="Tahoma"/>
          <w:sz w:val="24"/>
          <w:szCs w:val="24"/>
          <w:lang w:val="en-US"/>
        </w:rPr>
        <w:t xml:space="preserve"> this issue. It shows the partial blindness of the EU with regard to the transition of its economic policies in national regulations. </w:t>
      </w:r>
    </w:p>
    <w:p w:rsidR="00140090" w:rsidRPr="00E43EDA" w:rsidRDefault="002D5960" w:rsidP="002F6413">
      <w:pPr>
        <w:jc w:val="both"/>
        <w:rPr>
          <w:rFonts w:ascii="Tahoma" w:hAnsi="Tahoma" w:cs="Tahoma"/>
          <w:sz w:val="24"/>
          <w:szCs w:val="24"/>
          <w:lang w:val="en-US"/>
        </w:rPr>
      </w:pPr>
      <w:r w:rsidRPr="00E43EDA">
        <w:rPr>
          <w:rFonts w:ascii="Tahoma" w:hAnsi="Tahoma" w:cs="Tahoma"/>
          <w:sz w:val="24"/>
          <w:szCs w:val="24"/>
          <w:lang w:val="en-US"/>
        </w:rPr>
        <w:t xml:space="preserve">Similarly, with regard to collective negotiations, </w:t>
      </w:r>
      <w:r w:rsidR="00481588" w:rsidRPr="00E43EDA">
        <w:rPr>
          <w:rFonts w:ascii="Tahoma" w:hAnsi="Tahoma" w:cs="Tahoma"/>
          <w:sz w:val="24"/>
          <w:szCs w:val="24"/>
          <w:lang w:val="en-US"/>
        </w:rPr>
        <w:t>the European Court of Justice has judged that the basic principles of collective action (which are linked to the freedom of association) were considered to b</w:t>
      </w:r>
      <w:r w:rsidR="009879A8">
        <w:rPr>
          <w:rFonts w:ascii="Tahoma" w:hAnsi="Tahoma" w:cs="Tahoma"/>
          <w:sz w:val="24"/>
          <w:szCs w:val="24"/>
          <w:lang w:val="en-US"/>
        </w:rPr>
        <w:t>e basic rights which may be invoked to found</w:t>
      </w:r>
      <w:r w:rsidR="00481588" w:rsidRPr="00E43EDA">
        <w:rPr>
          <w:rFonts w:ascii="Tahoma" w:hAnsi="Tahoma" w:cs="Tahoma"/>
          <w:sz w:val="24"/>
          <w:szCs w:val="24"/>
          <w:lang w:val="en-US"/>
        </w:rPr>
        <w:t xml:space="preserve"> exceptions to the basic freedoms of the EU. </w:t>
      </w:r>
      <w:r w:rsidR="00385915">
        <w:rPr>
          <w:rFonts w:ascii="Tahoma" w:hAnsi="Tahoma" w:cs="Tahoma"/>
          <w:sz w:val="24"/>
          <w:szCs w:val="24"/>
          <w:lang w:val="en-US"/>
        </w:rPr>
        <w:t>The</w:t>
      </w:r>
      <w:r w:rsidR="009879A8">
        <w:rPr>
          <w:rFonts w:ascii="Tahoma" w:hAnsi="Tahoma" w:cs="Tahoma"/>
          <w:sz w:val="24"/>
          <w:szCs w:val="24"/>
          <w:lang w:val="en-US"/>
        </w:rPr>
        <w:t xml:space="preserve"> ECJ stated this in the Viking and Laval case law. However, t</w:t>
      </w:r>
      <w:r w:rsidR="00481588" w:rsidRPr="00E43EDA">
        <w:rPr>
          <w:rFonts w:ascii="Tahoma" w:hAnsi="Tahoma" w:cs="Tahoma"/>
          <w:sz w:val="24"/>
          <w:szCs w:val="24"/>
          <w:lang w:val="en-US"/>
        </w:rPr>
        <w:t>he Viking and Laval cases have invoked a very</w:t>
      </w:r>
      <w:r w:rsidR="00511C8B" w:rsidRPr="00E43EDA">
        <w:rPr>
          <w:rFonts w:ascii="Tahoma" w:hAnsi="Tahoma" w:cs="Tahoma"/>
          <w:sz w:val="24"/>
          <w:szCs w:val="24"/>
          <w:lang w:val="en-US"/>
        </w:rPr>
        <w:t xml:space="preserve"> large reaction</w:t>
      </w:r>
      <w:r w:rsidR="00481588" w:rsidRPr="00E43EDA">
        <w:rPr>
          <w:rFonts w:ascii="Tahoma" w:hAnsi="Tahoma" w:cs="Tahoma"/>
          <w:sz w:val="24"/>
          <w:szCs w:val="24"/>
          <w:lang w:val="en-US"/>
        </w:rPr>
        <w:t>.</w:t>
      </w:r>
      <w:r w:rsidR="005F566C" w:rsidRPr="00E43EDA">
        <w:rPr>
          <w:rStyle w:val="FootnoteReference"/>
          <w:rFonts w:ascii="Tahoma" w:hAnsi="Tahoma" w:cs="Tahoma"/>
          <w:sz w:val="24"/>
          <w:szCs w:val="24"/>
          <w:lang w:val="en-US"/>
        </w:rPr>
        <w:footnoteReference w:id="46"/>
      </w:r>
      <w:r w:rsidR="00481588" w:rsidRPr="00E43EDA">
        <w:rPr>
          <w:rFonts w:ascii="Tahoma" w:hAnsi="Tahoma" w:cs="Tahoma"/>
          <w:sz w:val="24"/>
          <w:szCs w:val="24"/>
          <w:lang w:val="en-US"/>
        </w:rPr>
        <w:t xml:space="preserve"> The major analysis was that the right on collective action was considered to be an exception to </w:t>
      </w:r>
      <w:r w:rsidR="009879A8">
        <w:rPr>
          <w:rFonts w:ascii="Tahoma" w:hAnsi="Tahoma" w:cs="Tahoma"/>
          <w:sz w:val="24"/>
          <w:szCs w:val="24"/>
          <w:lang w:val="en-US"/>
        </w:rPr>
        <w:t xml:space="preserve">fundamental freedoms. It </w:t>
      </w:r>
      <w:proofErr w:type="gramStart"/>
      <w:r w:rsidR="009879A8">
        <w:rPr>
          <w:rFonts w:ascii="Tahoma" w:hAnsi="Tahoma" w:cs="Tahoma"/>
          <w:sz w:val="24"/>
          <w:szCs w:val="24"/>
          <w:lang w:val="en-US"/>
        </w:rPr>
        <w:t xml:space="preserve">was not considered to be </w:t>
      </w:r>
      <w:r w:rsidR="00385915">
        <w:rPr>
          <w:rFonts w:ascii="Tahoma" w:hAnsi="Tahoma" w:cs="Tahoma"/>
          <w:sz w:val="24"/>
          <w:szCs w:val="24"/>
          <w:lang w:val="en-US"/>
        </w:rPr>
        <w:t>leveled</w:t>
      </w:r>
      <w:proofErr w:type="gramEnd"/>
      <w:r w:rsidR="009879A8">
        <w:rPr>
          <w:rFonts w:ascii="Tahoma" w:hAnsi="Tahoma" w:cs="Tahoma"/>
          <w:sz w:val="24"/>
          <w:szCs w:val="24"/>
          <w:lang w:val="en-US"/>
        </w:rPr>
        <w:t xml:space="preserve"> with the fundamental freedoms of the EU. Quite on the contrary, </w:t>
      </w:r>
      <w:r w:rsidR="00481588" w:rsidRPr="00E43EDA">
        <w:rPr>
          <w:rFonts w:ascii="Tahoma" w:hAnsi="Tahoma" w:cs="Tahoma"/>
          <w:sz w:val="24"/>
          <w:szCs w:val="24"/>
          <w:lang w:val="en-US"/>
        </w:rPr>
        <w:t xml:space="preserve">the right on collective action is more and more </w:t>
      </w:r>
      <w:r w:rsidR="00511C8B" w:rsidRPr="00E43EDA">
        <w:rPr>
          <w:rFonts w:ascii="Tahoma" w:hAnsi="Tahoma" w:cs="Tahoma"/>
          <w:sz w:val="24"/>
          <w:szCs w:val="24"/>
          <w:lang w:val="en-US"/>
        </w:rPr>
        <w:t>considered</w:t>
      </w:r>
      <w:r w:rsidR="00481588" w:rsidRPr="00E43EDA">
        <w:rPr>
          <w:rFonts w:ascii="Tahoma" w:hAnsi="Tahoma" w:cs="Tahoma"/>
          <w:sz w:val="24"/>
          <w:szCs w:val="24"/>
          <w:lang w:val="en-US"/>
        </w:rPr>
        <w:t xml:space="preserve"> to be an integrated element within the framework of the E</w:t>
      </w:r>
      <w:r w:rsidR="005F566C" w:rsidRPr="00E43EDA">
        <w:rPr>
          <w:rFonts w:ascii="Tahoma" w:hAnsi="Tahoma" w:cs="Tahoma"/>
          <w:sz w:val="24"/>
          <w:szCs w:val="24"/>
          <w:lang w:val="en-US"/>
        </w:rPr>
        <w:t xml:space="preserve">uropean </w:t>
      </w:r>
      <w:r w:rsidR="007F0F24" w:rsidRPr="00E43EDA">
        <w:rPr>
          <w:rFonts w:ascii="Tahoma" w:hAnsi="Tahoma" w:cs="Tahoma"/>
          <w:sz w:val="24"/>
          <w:szCs w:val="24"/>
          <w:lang w:val="en-US"/>
        </w:rPr>
        <w:t>C</w:t>
      </w:r>
      <w:r w:rsidR="005F566C" w:rsidRPr="00E43EDA">
        <w:rPr>
          <w:rFonts w:ascii="Tahoma" w:hAnsi="Tahoma" w:cs="Tahoma"/>
          <w:sz w:val="24"/>
          <w:szCs w:val="24"/>
          <w:lang w:val="en-US"/>
        </w:rPr>
        <w:t xml:space="preserve">ourt of </w:t>
      </w:r>
      <w:r w:rsidR="007F0F24" w:rsidRPr="00E43EDA">
        <w:rPr>
          <w:rFonts w:ascii="Tahoma" w:hAnsi="Tahoma" w:cs="Tahoma"/>
          <w:sz w:val="24"/>
          <w:szCs w:val="24"/>
          <w:lang w:val="en-US"/>
        </w:rPr>
        <w:t>H</w:t>
      </w:r>
      <w:r w:rsidR="005F566C" w:rsidRPr="00E43EDA">
        <w:rPr>
          <w:rFonts w:ascii="Tahoma" w:hAnsi="Tahoma" w:cs="Tahoma"/>
          <w:sz w:val="24"/>
          <w:szCs w:val="24"/>
          <w:lang w:val="en-US"/>
        </w:rPr>
        <w:t xml:space="preserve">uman </w:t>
      </w:r>
      <w:r w:rsidR="007F0F24" w:rsidRPr="00E43EDA">
        <w:rPr>
          <w:rFonts w:ascii="Tahoma" w:hAnsi="Tahoma" w:cs="Tahoma"/>
          <w:sz w:val="24"/>
          <w:szCs w:val="24"/>
          <w:lang w:val="en-US"/>
        </w:rPr>
        <w:t>R</w:t>
      </w:r>
      <w:r w:rsidR="005F566C" w:rsidRPr="00E43EDA">
        <w:rPr>
          <w:rFonts w:ascii="Tahoma" w:hAnsi="Tahoma" w:cs="Tahoma"/>
          <w:sz w:val="24"/>
          <w:szCs w:val="24"/>
          <w:lang w:val="en-US"/>
        </w:rPr>
        <w:t>ights</w:t>
      </w:r>
      <w:r w:rsidR="007F0F24" w:rsidRPr="00E43EDA">
        <w:rPr>
          <w:rFonts w:ascii="Tahoma" w:hAnsi="Tahoma" w:cs="Tahoma"/>
          <w:sz w:val="24"/>
          <w:szCs w:val="24"/>
          <w:lang w:val="en-US"/>
        </w:rPr>
        <w:t>. This different approaches lead to a m</w:t>
      </w:r>
      <w:r w:rsidR="00CA4D06" w:rsidRPr="00E43EDA">
        <w:rPr>
          <w:rFonts w:ascii="Tahoma" w:hAnsi="Tahoma" w:cs="Tahoma"/>
          <w:sz w:val="24"/>
          <w:szCs w:val="24"/>
          <w:lang w:val="en-US"/>
        </w:rPr>
        <w:t>a</w:t>
      </w:r>
      <w:r w:rsidR="007F0F24" w:rsidRPr="00E43EDA">
        <w:rPr>
          <w:rFonts w:ascii="Tahoma" w:hAnsi="Tahoma" w:cs="Tahoma"/>
          <w:sz w:val="24"/>
          <w:szCs w:val="24"/>
          <w:lang w:val="en-US"/>
        </w:rPr>
        <w:t xml:space="preserve">jor distinction between </w:t>
      </w:r>
      <w:r w:rsidR="00CA4D06" w:rsidRPr="00E43EDA">
        <w:rPr>
          <w:rFonts w:ascii="Tahoma" w:hAnsi="Tahoma" w:cs="Tahoma"/>
          <w:sz w:val="24"/>
          <w:szCs w:val="24"/>
          <w:lang w:val="en-US"/>
        </w:rPr>
        <w:t>how col</w:t>
      </w:r>
      <w:r w:rsidR="00511C8B" w:rsidRPr="00E43EDA">
        <w:rPr>
          <w:rFonts w:ascii="Tahoma" w:hAnsi="Tahoma" w:cs="Tahoma"/>
          <w:sz w:val="24"/>
          <w:szCs w:val="24"/>
          <w:lang w:val="en-US"/>
        </w:rPr>
        <w:t>l</w:t>
      </w:r>
      <w:r w:rsidR="00CA4D06" w:rsidRPr="00E43EDA">
        <w:rPr>
          <w:rFonts w:ascii="Tahoma" w:hAnsi="Tahoma" w:cs="Tahoma"/>
          <w:sz w:val="24"/>
          <w:szCs w:val="24"/>
          <w:lang w:val="en-US"/>
        </w:rPr>
        <w:t xml:space="preserve">ective </w:t>
      </w:r>
      <w:proofErr w:type="gramStart"/>
      <w:r w:rsidR="00CA4D06" w:rsidRPr="00E43EDA">
        <w:rPr>
          <w:rFonts w:ascii="Tahoma" w:hAnsi="Tahoma" w:cs="Tahoma"/>
          <w:sz w:val="24"/>
          <w:szCs w:val="24"/>
          <w:lang w:val="en-US"/>
        </w:rPr>
        <w:t>action</w:t>
      </w:r>
      <w:proofErr w:type="gramEnd"/>
      <w:r w:rsidR="00CA4D06" w:rsidRPr="00E43EDA">
        <w:rPr>
          <w:rFonts w:ascii="Tahoma" w:hAnsi="Tahoma" w:cs="Tahoma"/>
          <w:sz w:val="24"/>
          <w:szCs w:val="24"/>
          <w:lang w:val="en-US"/>
        </w:rPr>
        <w:t xml:space="preserve"> is evaluated in the case law of the European Court of Human Rights and in the case law of the Court of Justice.</w:t>
      </w:r>
      <w:r w:rsidR="00CA4D06" w:rsidRPr="00E43EDA">
        <w:rPr>
          <w:rStyle w:val="FootnoteReference"/>
          <w:rFonts w:ascii="Tahoma" w:hAnsi="Tahoma" w:cs="Tahoma"/>
          <w:sz w:val="24"/>
          <w:szCs w:val="24"/>
          <w:lang w:val="en-US"/>
        </w:rPr>
        <w:footnoteReference w:id="47"/>
      </w:r>
      <w:r w:rsidR="00CA4D06" w:rsidRPr="00E43EDA">
        <w:rPr>
          <w:rFonts w:ascii="Tahoma" w:hAnsi="Tahoma" w:cs="Tahoma"/>
          <w:sz w:val="24"/>
          <w:szCs w:val="24"/>
          <w:lang w:val="en-US"/>
        </w:rPr>
        <w:t xml:space="preserve"> </w:t>
      </w:r>
      <w:r w:rsidR="005F566C" w:rsidRPr="00E43EDA">
        <w:rPr>
          <w:rFonts w:ascii="Tahoma" w:hAnsi="Tahoma" w:cs="Tahoma"/>
          <w:sz w:val="24"/>
          <w:szCs w:val="24"/>
          <w:lang w:val="en-US"/>
        </w:rPr>
        <w:t xml:space="preserve">It seems that economic freedoms are more important in the case law of the ECJ than the right of collective action for trade unions. </w:t>
      </w:r>
    </w:p>
    <w:p w:rsidR="00CA4D06" w:rsidRPr="00E43EDA" w:rsidRDefault="00CA4D06" w:rsidP="002F6413">
      <w:pPr>
        <w:jc w:val="both"/>
        <w:rPr>
          <w:rFonts w:ascii="Tahoma" w:hAnsi="Tahoma" w:cs="Tahoma"/>
          <w:sz w:val="24"/>
          <w:szCs w:val="24"/>
          <w:lang w:val="en-US"/>
        </w:rPr>
      </w:pPr>
      <w:r w:rsidRPr="00E43EDA">
        <w:rPr>
          <w:rFonts w:ascii="Tahoma" w:hAnsi="Tahoma" w:cs="Tahoma"/>
          <w:sz w:val="24"/>
          <w:szCs w:val="24"/>
          <w:lang w:val="en-US"/>
        </w:rPr>
        <w:t xml:space="preserve">It seems that the European Union has not yet found a good balance between the social rights dialogue (which is considered to be fundamental in the private and in the public sector in all Member States) and </w:t>
      </w:r>
      <w:r w:rsidR="00511C8B" w:rsidRPr="00E43EDA">
        <w:rPr>
          <w:rFonts w:ascii="Tahoma" w:hAnsi="Tahoma" w:cs="Tahoma"/>
          <w:sz w:val="24"/>
          <w:szCs w:val="24"/>
          <w:lang w:val="en-US"/>
        </w:rPr>
        <w:t>pressing</w:t>
      </w:r>
      <w:r w:rsidRPr="00E43EDA">
        <w:rPr>
          <w:rFonts w:ascii="Tahoma" w:hAnsi="Tahoma" w:cs="Tahoma"/>
          <w:sz w:val="24"/>
          <w:szCs w:val="24"/>
          <w:lang w:val="en-US"/>
        </w:rPr>
        <w:t xml:space="preserve"> economic issues. Given the stipulations of the EU Charter, some more openness should be considered.</w:t>
      </w:r>
      <w:r w:rsidR="00385915">
        <w:rPr>
          <w:rFonts w:ascii="Tahoma" w:hAnsi="Tahoma" w:cs="Tahoma"/>
          <w:sz w:val="24"/>
          <w:szCs w:val="24"/>
          <w:lang w:val="en-US"/>
        </w:rPr>
        <w:t xml:space="preserve"> Respecting its own European Charter of Fundamental Rights needs to be controlled. </w:t>
      </w:r>
      <w:r w:rsidRPr="00E43EDA">
        <w:rPr>
          <w:rFonts w:ascii="Tahoma" w:hAnsi="Tahoma" w:cs="Tahoma"/>
          <w:sz w:val="24"/>
          <w:szCs w:val="24"/>
          <w:lang w:val="en-US"/>
        </w:rPr>
        <w:t xml:space="preserve">  </w:t>
      </w:r>
    </w:p>
    <w:p w:rsidR="005F566C" w:rsidRPr="00E43EDA" w:rsidRDefault="005F566C" w:rsidP="005F566C">
      <w:pPr>
        <w:pStyle w:val="ListParagraph"/>
        <w:numPr>
          <w:ilvl w:val="0"/>
          <w:numId w:val="8"/>
        </w:numPr>
        <w:jc w:val="both"/>
        <w:rPr>
          <w:rFonts w:ascii="Tahoma" w:hAnsi="Tahoma" w:cs="Tahoma"/>
          <w:sz w:val="24"/>
          <w:szCs w:val="24"/>
          <w:lang w:val="en-US"/>
        </w:rPr>
      </w:pPr>
      <w:r w:rsidRPr="00E43EDA">
        <w:rPr>
          <w:rFonts w:ascii="Tahoma" w:hAnsi="Tahoma" w:cs="Tahoma"/>
          <w:sz w:val="24"/>
          <w:szCs w:val="24"/>
          <w:lang w:val="en-US"/>
        </w:rPr>
        <w:t>Concluding remarks</w:t>
      </w:r>
    </w:p>
    <w:p w:rsidR="005F566C" w:rsidRPr="00E43EDA" w:rsidRDefault="005F566C" w:rsidP="005F566C">
      <w:pPr>
        <w:jc w:val="both"/>
        <w:rPr>
          <w:rFonts w:ascii="Tahoma" w:hAnsi="Tahoma" w:cs="Tahoma"/>
          <w:sz w:val="24"/>
          <w:szCs w:val="24"/>
          <w:lang w:val="en-US"/>
        </w:rPr>
      </w:pPr>
      <w:r w:rsidRPr="00E43EDA">
        <w:rPr>
          <w:rFonts w:ascii="Tahoma" w:hAnsi="Tahoma" w:cs="Tahoma"/>
          <w:sz w:val="24"/>
          <w:szCs w:val="24"/>
          <w:lang w:val="en-US"/>
        </w:rPr>
        <w:t xml:space="preserve">A comparative analysis of the reforms in public sector with regard to their staff indicates that the reforms in four countries (Portugal, Spain, Belgium and the Netherlands) all provoke </w:t>
      </w:r>
      <w:r w:rsidR="00511C8B" w:rsidRPr="00E43EDA">
        <w:rPr>
          <w:rFonts w:ascii="Tahoma" w:hAnsi="Tahoma" w:cs="Tahoma"/>
          <w:sz w:val="24"/>
          <w:szCs w:val="24"/>
          <w:lang w:val="en-US"/>
        </w:rPr>
        <w:t>queries</w:t>
      </w:r>
      <w:r w:rsidR="00385915">
        <w:rPr>
          <w:rFonts w:ascii="Tahoma" w:hAnsi="Tahoma" w:cs="Tahoma"/>
          <w:sz w:val="24"/>
          <w:szCs w:val="24"/>
          <w:lang w:val="en-US"/>
        </w:rPr>
        <w:t xml:space="preserve"> with regard to social rights in the public sector.</w:t>
      </w:r>
    </w:p>
    <w:p w:rsidR="005F566C" w:rsidRPr="00E43EDA" w:rsidRDefault="005F566C" w:rsidP="005F566C">
      <w:pPr>
        <w:jc w:val="both"/>
        <w:rPr>
          <w:rFonts w:ascii="Tahoma" w:hAnsi="Tahoma" w:cs="Tahoma"/>
          <w:sz w:val="24"/>
          <w:szCs w:val="24"/>
          <w:lang w:val="en-US"/>
        </w:rPr>
      </w:pPr>
      <w:r w:rsidRPr="00E43EDA">
        <w:rPr>
          <w:rFonts w:ascii="Tahoma" w:hAnsi="Tahoma" w:cs="Tahoma"/>
          <w:sz w:val="24"/>
          <w:szCs w:val="24"/>
          <w:lang w:val="en-US"/>
        </w:rPr>
        <w:t xml:space="preserve">In all four the countries, Parliament and/or government indicated that the financial and economic crisis had to be considered as a pressing need to </w:t>
      </w:r>
      <w:proofErr w:type="gramStart"/>
      <w:r w:rsidRPr="00E43EDA">
        <w:rPr>
          <w:rFonts w:ascii="Tahoma" w:hAnsi="Tahoma" w:cs="Tahoma"/>
          <w:sz w:val="24"/>
          <w:szCs w:val="24"/>
          <w:lang w:val="en-US"/>
        </w:rPr>
        <w:t>the derogate</w:t>
      </w:r>
      <w:proofErr w:type="gramEnd"/>
      <w:r w:rsidRPr="00E43EDA">
        <w:rPr>
          <w:rFonts w:ascii="Tahoma" w:hAnsi="Tahoma" w:cs="Tahoma"/>
          <w:sz w:val="24"/>
          <w:szCs w:val="24"/>
          <w:lang w:val="en-US"/>
        </w:rPr>
        <w:t xml:space="preserve"> from </w:t>
      </w:r>
      <w:r w:rsidR="00AD2C86" w:rsidRPr="00E43EDA">
        <w:rPr>
          <w:rFonts w:ascii="Tahoma" w:hAnsi="Tahoma" w:cs="Tahoma"/>
          <w:sz w:val="24"/>
          <w:szCs w:val="24"/>
          <w:lang w:val="en-US"/>
        </w:rPr>
        <w:t xml:space="preserve">basic social </w:t>
      </w:r>
      <w:r w:rsidR="00511C8B" w:rsidRPr="00E43EDA">
        <w:rPr>
          <w:rFonts w:ascii="Tahoma" w:hAnsi="Tahoma" w:cs="Tahoma"/>
          <w:sz w:val="24"/>
          <w:szCs w:val="24"/>
          <w:lang w:val="en-US"/>
        </w:rPr>
        <w:t>rights</w:t>
      </w:r>
      <w:r w:rsidR="00AD2C86" w:rsidRPr="00E43EDA">
        <w:rPr>
          <w:rFonts w:ascii="Tahoma" w:hAnsi="Tahoma" w:cs="Tahoma"/>
          <w:sz w:val="24"/>
          <w:szCs w:val="24"/>
          <w:lang w:val="en-US"/>
        </w:rPr>
        <w:t xml:space="preserve"> and from common</w:t>
      </w:r>
      <w:r w:rsidRPr="00E43EDA">
        <w:rPr>
          <w:rFonts w:ascii="Tahoma" w:hAnsi="Tahoma" w:cs="Tahoma"/>
          <w:sz w:val="24"/>
          <w:szCs w:val="24"/>
          <w:lang w:val="en-US"/>
        </w:rPr>
        <w:t xml:space="preserve"> </w:t>
      </w:r>
      <w:r w:rsidR="00AD2C86" w:rsidRPr="00E43EDA">
        <w:rPr>
          <w:rFonts w:ascii="Tahoma" w:hAnsi="Tahoma" w:cs="Tahoma"/>
          <w:sz w:val="24"/>
          <w:szCs w:val="24"/>
          <w:lang w:val="en-US"/>
        </w:rPr>
        <w:t xml:space="preserve">collective bargaining procedures.  </w:t>
      </w:r>
      <w:r w:rsidRPr="00E43EDA">
        <w:rPr>
          <w:rFonts w:ascii="Tahoma" w:hAnsi="Tahoma" w:cs="Tahoma"/>
          <w:sz w:val="24"/>
          <w:szCs w:val="24"/>
          <w:lang w:val="en-US"/>
        </w:rPr>
        <w:t xml:space="preserve"> </w:t>
      </w:r>
    </w:p>
    <w:p w:rsidR="00AD2C86" w:rsidRPr="00E43EDA" w:rsidRDefault="005F566C" w:rsidP="005F566C">
      <w:pPr>
        <w:jc w:val="both"/>
        <w:rPr>
          <w:rFonts w:ascii="Tahoma" w:hAnsi="Tahoma" w:cs="Tahoma"/>
          <w:sz w:val="24"/>
          <w:szCs w:val="24"/>
          <w:lang w:val="en-US"/>
        </w:rPr>
      </w:pPr>
      <w:r w:rsidRPr="00E43EDA">
        <w:rPr>
          <w:rFonts w:ascii="Tahoma" w:hAnsi="Tahoma" w:cs="Tahoma"/>
          <w:sz w:val="24"/>
          <w:szCs w:val="24"/>
          <w:lang w:val="en-US"/>
        </w:rPr>
        <w:t xml:space="preserve">In Portugal, the Constitutional Court intervened three times in order to indicate violations of constitutional principles such as the principle of legitimate expectations and the principle of equality. For Spain, the ILO Committee rendered a report which </w:t>
      </w:r>
      <w:r w:rsidR="00511C8B" w:rsidRPr="00E43EDA">
        <w:rPr>
          <w:rFonts w:ascii="Tahoma" w:hAnsi="Tahoma" w:cs="Tahoma"/>
          <w:sz w:val="24"/>
          <w:szCs w:val="24"/>
          <w:lang w:val="en-US"/>
        </w:rPr>
        <w:lastRenderedPageBreak/>
        <w:t>indicates</w:t>
      </w:r>
      <w:r w:rsidRPr="00E43EDA">
        <w:rPr>
          <w:rFonts w:ascii="Tahoma" w:hAnsi="Tahoma" w:cs="Tahoma"/>
          <w:sz w:val="24"/>
          <w:szCs w:val="24"/>
          <w:lang w:val="en-US"/>
        </w:rPr>
        <w:t xml:space="preserve"> that Spain (even taking</w:t>
      </w:r>
      <w:r w:rsidR="00AD2C86" w:rsidRPr="00E43EDA">
        <w:rPr>
          <w:rFonts w:ascii="Tahoma" w:hAnsi="Tahoma" w:cs="Tahoma"/>
          <w:sz w:val="24"/>
          <w:szCs w:val="24"/>
          <w:lang w:val="en-US"/>
        </w:rPr>
        <w:t xml:space="preserve"> into account the specific framework which was invoked by the Spanish authorities). For Belgium and the Netherlands, no legal proceedings were initiated. It remained limited to a parliamentary debate in Belgium and to difficulties between trade unions and the State as Employer durin</w:t>
      </w:r>
      <w:r w:rsidR="00E43EDA">
        <w:rPr>
          <w:rFonts w:ascii="Tahoma" w:hAnsi="Tahoma" w:cs="Tahoma"/>
          <w:sz w:val="24"/>
          <w:szCs w:val="24"/>
          <w:lang w:val="en-US"/>
        </w:rPr>
        <w:t xml:space="preserve">g two years in the Netherlands which </w:t>
      </w:r>
      <w:proofErr w:type="gramStart"/>
      <w:r w:rsidR="00E43EDA">
        <w:rPr>
          <w:rFonts w:ascii="Tahoma" w:hAnsi="Tahoma" w:cs="Tahoma"/>
          <w:sz w:val="24"/>
          <w:szCs w:val="24"/>
          <w:lang w:val="en-US"/>
        </w:rPr>
        <w:t>were</w:t>
      </w:r>
      <w:proofErr w:type="gramEnd"/>
      <w:r w:rsidR="00E43EDA">
        <w:rPr>
          <w:rFonts w:ascii="Tahoma" w:hAnsi="Tahoma" w:cs="Tahoma"/>
          <w:sz w:val="24"/>
          <w:szCs w:val="24"/>
          <w:lang w:val="en-US"/>
        </w:rPr>
        <w:t xml:space="preserve"> analyzed in an advisory opinion.</w:t>
      </w:r>
    </w:p>
    <w:p w:rsidR="00385915" w:rsidRDefault="00385915" w:rsidP="005F566C">
      <w:pPr>
        <w:jc w:val="both"/>
        <w:rPr>
          <w:rFonts w:ascii="Tahoma" w:hAnsi="Tahoma" w:cs="Tahoma"/>
          <w:sz w:val="24"/>
          <w:szCs w:val="24"/>
          <w:lang w:val="en-US"/>
        </w:rPr>
      </w:pPr>
      <w:r>
        <w:rPr>
          <w:rFonts w:ascii="Tahoma" w:hAnsi="Tahoma" w:cs="Tahoma"/>
          <w:sz w:val="24"/>
          <w:szCs w:val="24"/>
          <w:lang w:val="en-US"/>
        </w:rPr>
        <w:t>However, it seems that the European Commission</w:t>
      </w:r>
      <w:r w:rsidR="00AD2C86" w:rsidRPr="00E43EDA">
        <w:rPr>
          <w:rFonts w:ascii="Tahoma" w:hAnsi="Tahoma" w:cs="Tahoma"/>
          <w:sz w:val="24"/>
          <w:szCs w:val="24"/>
          <w:lang w:val="en-US"/>
        </w:rPr>
        <w:t xml:space="preserve"> remains blind for respect of basic social rights. It seems necessary that the EU institutions include a control of article 28 of the EU Charter of Fundamental Rights</w:t>
      </w:r>
      <w:r>
        <w:rPr>
          <w:rFonts w:ascii="Tahoma" w:hAnsi="Tahoma" w:cs="Tahoma"/>
          <w:sz w:val="24"/>
          <w:szCs w:val="24"/>
          <w:lang w:val="en-US"/>
        </w:rPr>
        <w:t xml:space="preserve"> in their reviews of the adjustment programmes and of their reports on excessive state deficits</w:t>
      </w:r>
      <w:r w:rsidR="00AD2C86" w:rsidRPr="00E43EDA">
        <w:rPr>
          <w:rFonts w:ascii="Tahoma" w:hAnsi="Tahoma" w:cs="Tahoma"/>
          <w:sz w:val="24"/>
          <w:szCs w:val="24"/>
          <w:lang w:val="en-US"/>
        </w:rPr>
        <w:t>.</w:t>
      </w:r>
      <w:r w:rsidR="00E43EDA">
        <w:rPr>
          <w:rFonts w:ascii="Tahoma" w:hAnsi="Tahoma" w:cs="Tahoma"/>
          <w:sz w:val="24"/>
          <w:szCs w:val="24"/>
          <w:lang w:val="en-US"/>
        </w:rPr>
        <w:t xml:space="preserve"> </w:t>
      </w:r>
    </w:p>
    <w:p w:rsidR="00385915" w:rsidRDefault="00E43EDA" w:rsidP="005F566C">
      <w:pPr>
        <w:jc w:val="both"/>
        <w:rPr>
          <w:rFonts w:ascii="Tahoma" w:hAnsi="Tahoma" w:cs="Tahoma"/>
          <w:sz w:val="24"/>
          <w:szCs w:val="24"/>
          <w:lang w:val="en-US"/>
        </w:rPr>
      </w:pPr>
      <w:r>
        <w:rPr>
          <w:rFonts w:ascii="Tahoma" w:hAnsi="Tahoma" w:cs="Tahoma"/>
          <w:sz w:val="24"/>
          <w:szCs w:val="24"/>
          <w:lang w:val="en-US"/>
        </w:rPr>
        <w:t xml:space="preserve">Building up </w:t>
      </w:r>
      <w:proofErr w:type="gramStart"/>
      <w:r>
        <w:rPr>
          <w:rFonts w:ascii="Tahoma" w:hAnsi="Tahoma" w:cs="Tahoma"/>
          <w:sz w:val="24"/>
          <w:szCs w:val="24"/>
          <w:lang w:val="en-US"/>
        </w:rPr>
        <w:t>an</w:t>
      </w:r>
      <w:proofErr w:type="gramEnd"/>
      <w:r w:rsidR="00385915">
        <w:rPr>
          <w:rFonts w:ascii="Tahoma" w:hAnsi="Tahoma" w:cs="Tahoma"/>
          <w:sz w:val="24"/>
          <w:szCs w:val="24"/>
          <w:lang w:val="en-US"/>
        </w:rPr>
        <w:t xml:space="preserve"> EU where real social rights </w:t>
      </w:r>
      <w:r>
        <w:rPr>
          <w:rFonts w:ascii="Tahoma" w:hAnsi="Tahoma" w:cs="Tahoma"/>
          <w:sz w:val="24"/>
          <w:szCs w:val="24"/>
          <w:lang w:val="en-US"/>
        </w:rPr>
        <w:t xml:space="preserve">play a significant role would automatically imply that the EU institutions obtain a reflex to check whether the promulgated social rights are affectively respected. Derogations to fundamental rights need to be prescribed by law, necessary in a democratic society, proportionate and aiming for a </w:t>
      </w:r>
      <w:r w:rsidR="00385915">
        <w:rPr>
          <w:rFonts w:ascii="Tahoma" w:hAnsi="Tahoma" w:cs="Tahoma"/>
          <w:sz w:val="24"/>
          <w:szCs w:val="24"/>
          <w:lang w:val="en-US"/>
        </w:rPr>
        <w:t>legitimate</w:t>
      </w:r>
      <w:r>
        <w:rPr>
          <w:rFonts w:ascii="Tahoma" w:hAnsi="Tahoma" w:cs="Tahoma"/>
          <w:sz w:val="24"/>
          <w:szCs w:val="24"/>
          <w:lang w:val="en-US"/>
        </w:rPr>
        <w:t xml:space="preserve"> goal. The EU institutions should check whether this was the case for all of the Member States concerned</w:t>
      </w:r>
      <w:r w:rsidR="00385915">
        <w:rPr>
          <w:rFonts w:ascii="Tahoma" w:hAnsi="Tahoma" w:cs="Tahoma"/>
          <w:sz w:val="24"/>
          <w:szCs w:val="24"/>
          <w:lang w:val="en-US"/>
        </w:rPr>
        <w:t xml:space="preserve"> when they put some of their social regulations aside due to pressing economic needs</w:t>
      </w:r>
      <w:r>
        <w:rPr>
          <w:rFonts w:ascii="Tahoma" w:hAnsi="Tahoma" w:cs="Tahoma"/>
          <w:sz w:val="24"/>
          <w:szCs w:val="24"/>
          <w:lang w:val="en-US"/>
        </w:rPr>
        <w:t xml:space="preserve">. </w:t>
      </w:r>
    </w:p>
    <w:p w:rsidR="005F566C" w:rsidRDefault="00385915" w:rsidP="005F566C">
      <w:pPr>
        <w:jc w:val="both"/>
        <w:rPr>
          <w:rFonts w:ascii="Tahoma" w:hAnsi="Tahoma" w:cs="Tahoma"/>
          <w:sz w:val="24"/>
          <w:szCs w:val="24"/>
          <w:lang w:val="en-US"/>
        </w:rPr>
      </w:pPr>
      <w:r>
        <w:rPr>
          <w:rFonts w:ascii="Tahoma" w:hAnsi="Tahoma" w:cs="Tahoma"/>
          <w:sz w:val="24"/>
          <w:szCs w:val="24"/>
          <w:lang w:val="en-US"/>
        </w:rPr>
        <w:t xml:space="preserve">A shift in the </w:t>
      </w:r>
      <w:r w:rsidR="00E43EDA">
        <w:rPr>
          <w:rFonts w:ascii="Tahoma" w:hAnsi="Tahoma" w:cs="Tahoma"/>
          <w:sz w:val="24"/>
          <w:szCs w:val="24"/>
          <w:lang w:val="en-US"/>
        </w:rPr>
        <w:t>attitude</w:t>
      </w:r>
      <w:r w:rsidR="00E43EDA" w:rsidRPr="00E43EDA">
        <w:rPr>
          <w:rFonts w:ascii="Tahoma" w:hAnsi="Tahoma" w:cs="Tahoma"/>
          <w:sz w:val="24"/>
          <w:szCs w:val="24"/>
          <w:lang w:val="en-US"/>
        </w:rPr>
        <w:t xml:space="preserve"> </w:t>
      </w:r>
      <w:r>
        <w:rPr>
          <w:rFonts w:ascii="Tahoma" w:hAnsi="Tahoma" w:cs="Tahoma"/>
          <w:sz w:val="24"/>
          <w:szCs w:val="24"/>
          <w:lang w:val="en-US"/>
        </w:rPr>
        <w:t xml:space="preserve">of the European Commission </w:t>
      </w:r>
      <w:r w:rsidR="00E43EDA" w:rsidRPr="00E43EDA">
        <w:rPr>
          <w:rFonts w:ascii="Tahoma" w:hAnsi="Tahoma" w:cs="Tahoma"/>
          <w:sz w:val="24"/>
          <w:szCs w:val="24"/>
          <w:lang w:val="en-US"/>
        </w:rPr>
        <w:t>would</w:t>
      </w:r>
      <w:r w:rsidR="00E43EDA">
        <w:rPr>
          <w:rFonts w:ascii="Tahoma" w:hAnsi="Tahoma" w:cs="Tahoma"/>
          <w:sz w:val="24"/>
          <w:szCs w:val="24"/>
          <w:lang w:val="en-US"/>
        </w:rPr>
        <w:t xml:space="preserve"> be an important step to overcome to so-called democratic deficit.</w:t>
      </w:r>
      <w:r w:rsidR="00E43EDA" w:rsidRPr="00E43EDA">
        <w:rPr>
          <w:rFonts w:ascii="Tahoma" w:hAnsi="Tahoma" w:cs="Tahoma"/>
          <w:sz w:val="24"/>
          <w:szCs w:val="24"/>
          <w:lang w:val="en-US"/>
        </w:rPr>
        <w:t xml:space="preserve"> </w:t>
      </w:r>
      <w:r w:rsidR="00E43EDA">
        <w:rPr>
          <w:rFonts w:ascii="Tahoma" w:hAnsi="Tahoma" w:cs="Tahoma"/>
          <w:sz w:val="24"/>
          <w:szCs w:val="24"/>
          <w:lang w:val="en-US"/>
        </w:rPr>
        <w:t xml:space="preserve">Controlling the respect of social rights implies </w:t>
      </w:r>
      <w:r w:rsidR="00E43EDA" w:rsidRPr="00E43EDA">
        <w:rPr>
          <w:rFonts w:ascii="Tahoma" w:hAnsi="Tahoma" w:cs="Tahoma"/>
          <w:sz w:val="24"/>
          <w:szCs w:val="24"/>
          <w:lang w:val="en-US"/>
        </w:rPr>
        <w:t>that the EU evolves to</w:t>
      </w:r>
      <w:r w:rsidR="00E43EDA">
        <w:rPr>
          <w:rFonts w:ascii="Tahoma" w:hAnsi="Tahoma" w:cs="Tahoma"/>
          <w:sz w:val="24"/>
          <w:szCs w:val="24"/>
          <w:lang w:val="en-US"/>
        </w:rPr>
        <w:t>wards</w:t>
      </w:r>
      <w:r w:rsidR="00E43EDA" w:rsidRPr="00E43EDA">
        <w:rPr>
          <w:rFonts w:ascii="Tahoma" w:hAnsi="Tahoma" w:cs="Tahoma"/>
          <w:sz w:val="24"/>
          <w:szCs w:val="24"/>
          <w:lang w:val="en-US"/>
        </w:rPr>
        <w:t xml:space="preserve"> a full and democratic supranational institution.</w:t>
      </w:r>
      <w:r w:rsidR="00E43EDA">
        <w:rPr>
          <w:rFonts w:ascii="Tahoma" w:hAnsi="Tahoma" w:cs="Tahoma"/>
          <w:sz w:val="24"/>
          <w:szCs w:val="24"/>
          <w:lang w:val="en-US"/>
        </w:rPr>
        <w:t xml:space="preserve">  </w:t>
      </w:r>
    </w:p>
    <w:p w:rsidR="00363248" w:rsidRDefault="00363248" w:rsidP="005F566C">
      <w:pPr>
        <w:jc w:val="both"/>
        <w:rPr>
          <w:rFonts w:ascii="Tahoma" w:hAnsi="Tahoma" w:cs="Tahoma"/>
          <w:sz w:val="24"/>
          <w:szCs w:val="24"/>
          <w:lang w:val="en-US"/>
        </w:rPr>
      </w:pPr>
    </w:p>
    <w:p w:rsidR="00363248" w:rsidRDefault="00363248" w:rsidP="005F566C">
      <w:pPr>
        <w:jc w:val="both"/>
        <w:rPr>
          <w:rFonts w:ascii="Tahoma" w:hAnsi="Tahoma" w:cs="Tahoma"/>
          <w:sz w:val="24"/>
          <w:szCs w:val="24"/>
        </w:rPr>
      </w:pPr>
      <w:r w:rsidRPr="00363248">
        <w:rPr>
          <w:rFonts w:ascii="Tahoma" w:hAnsi="Tahoma" w:cs="Tahoma"/>
          <w:sz w:val="24"/>
          <w:szCs w:val="24"/>
        </w:rPr>
        <w:t>Prof. Dr. Alexander De B</w:t>
      </w:r>
      <w:r>
        <w:rPr>
          <w:rFonts w:ascii="Tahoma" w:hAnsi="Tahoma" w:cs="Tahoma"/>
          <w:sz w:val="24"/>
          <w:szCs w:val="24"/>
        </w:rPr>
        <w:t>ecker</w:t>
      </w:r>
    </w:p>
    <w:p w:rsidR="00363248" w:rsidRDefault="00363248" w:rsidP="005F566C">
      <w:pPr>
        <w:jc w:val="both"/>
        <w:rPr>
          <w:rFonts w:ascii="Tahoma" w:hAnsi="Tahoma" w:cs="Tahoma"/>
          <w:sz w:val="24"/>
          <w:szCs w:val="24"/>
        </w:rPr>
      </w:pPr>
      <w:r>
        <w:rPr>
          <w:rFonts w:ascii="Tahoma" w:hAnsi="Tahoma" w:cs="Tahoma"/>
          <w:sz w:val="24"/>
          <w:szCs w:val="24"/>
        </w:rPr>
        <w:t>UHasselt – University of Amsterdam</w:t>
      </w:r>
    </w:p>
    <w:p w:rsidR="00363248" w:rsidRDefault="00363248" w:rsidP="005F566C">
      <w:pPr>
        <w:jc w:val="both"/>
        <w:rPr>
          <w:rFonts w:ascii="Tahoma" w:hAnsi="Tahoma" w:cs="Tahoma"/>
          <w:sz w:val="24"/>
          <w:szCs w:val="24"/>
          <w:lang w:val="en-US"/>
        </w:rPr>
      </w:pPr>
      <w:r w:rsidRPr="00363248">
        <w:rPr>
          <w:rFonts w:ascii="Tahoma" w:hAnsi="Tahoma" w:cs="Tahoma"/>
          <w:sz w:val="24"/>
          <w:szCs w:val="24"/>
          <w:lang w:val="en-US"/>
        </w:rPr>
        <w:t>Professor of Public Law h</w:t>
      </w:r>
      <w:r>
        <w:rPr>
          <w:rFonts w:ascii="Tahoma" w:hAnsi="Tahoma" w:cs="Tahoma"/>
          <w:sz w:val="24"/>
          <w:szCs w:val="24"/>
          <w:lang w:val="en-US"/>
        </w:rPr>
        <w:t>olding the Chair “The State as Employer at the Unviersity of Amsterdam</w:t>
      </w:r>
    </w:p>
    <w:p w:rsidR="00363248" w:rsidRPr="00363248" w:rsidRDefault="00370F64" w:rsidP="005F566C">
      <w:pPr>
        <w:jc w:val="both"/>
        <w:rPr>
          <w:rFonts w:ascii="Tahoma" w:hAnsi="Tahoma" w:cs="Tahoma"/>
          <w:sz w:val="24"/>
          <w:szCs w:val="24"/>
          <w:lang w:val="en-US"/>
        </w:rPr>
      </w:pPr>
      <w:hyperlink r:id="rId9" w:history="1">
        <w:r w:rsidR="00363248" w:rsidRPr="00DA1DF2">
          <w:rPr>
            <w:rStyle w:val="Hyperlink"/>
            <w:rFonts w:ascii="Tahoma" w:hAnsi="Tahoma" w:cs="Tahoma"/>
            <w:sz w:val="24"/>
            <w:szCs w:val="24"/>
            <w:lang w:val="en-US"/>
          </w:rPr>
          <w:t>Alexander.debecker@uhasselt.be</w:t>
        </w:r>
      </w:hyperlink>
      <w:r w:rsidR="00363248">
        <w:rPr>
          <w:rFonts w:ascii="Tahoma" w:hAnsi="Tahoma" w:cs="Tahoma"/>
          <w:sz w:val="24"/>
          <w:szCs w:val="24"/>
          <w:lang w:val="en-US"/>
        </w:rPr>
        <w:t xml:space="preserve"> or </w:t>
      </w:r>
      <w:hyperlink r:id="rId10" w:history="1">
        <w:r w:rsidR="00363248" w:rsidRPr="00DA1DF2">
          <w:rPr>
            <w:rStyle w:val="Hyperlink"/>
            <w:rFonts w:ascii="Tahoma" w:hAnsi="Tahoma" w:cs="Tahoma"/>
            <w:sz w:val="24"/>
            <w:szCs w:val="24"/>
            <w:lang w:val="en-US"/>
          </w:rPr>
          <w:t>a.h.l.debecker@uva.nl</w:t>
        </w:r>
      </w:hyperlink>
      <w:r w:rsidR="00363248">
        <w:rPr>
          <w:rFonts w:ascii="Tahoma" w:hAnsi="Tahoma" w:cs="Tahoma"/>
          <w:sz w:val="24"/>
          <w:szCs w:val="24"/>
          <w:lang w:val="en-US"/>
        </w:rPr>
        <w:t xml:space="preserve"> </w:t>
      </w:r>
    </w:p>
    <w:p w:rsidR="00105C8E" w:rsidRPr="00363248" w:rsidRDefault="00105C8E" w:rsidP="00022055">
      <w:pPr>
        <w:autoSpaceDE w:val="0"/>
        <w:autoSpaceDN w:val="0"/>
        <w:adjustRightInd w:val="0"/>
        <w:spacing w:after="0" w:line="240" w:lineRule="auto"/>
        <w:jc w:val="both"/>
        <w:rPr>
          <w:rFonts w:ascii="Tahoma" w:hAnsi="Tahoma" w:cs="Tahoma"/>
          <w:sz w:val="24"/>
          <w:szCs w:val="24"/>
          <w:lang w:val="en-US"/>
        </w:rPr>
      </w:pPr>
    </w:p>
    <w:p w:rsidR="009B57E6" w:rsidRPr="00363248" w:rsidRDefault="009B57E6" w:rsidP="002F6413">
      <w:pPr>
        <w:jc w:val="both"/>
        <w:rPr>
          <w:rFonts w:ascii="Tahoma" w:hAnsi="Tahoma" w:cs="Tahoma"/>
          <w:sz w:val="24"/>
          <w:szCs w:val="24"/>
          <w:lang w:val="en-US"/>
        </w:rPr>
      </w:pPr>
    </w:p>
    <w:p w:rsidR="009B57E6" w:rsidRPr="00363248" w:rsidRDefault="009B57E6" w:rsidP="002F6413">
      <w:pPr>
        <w:jc w:val="both"/>
        <w:rPr>
          <w:rFonts w:ascii="Tahoma" w:hAnsi="Tahoma" w:cs="Tahoma"/>
          <w:sz w:val="24"/>
          <w:szCs w:val="24"/>
          <w:lang w:val="en-US"/>
        </w:rPr>
      </w:pPr>
    </w:p>
    <w:p w:rsidR="009B57E6" w:rsidRPr="00363248" w:rsidRDefault="009B57E6" w:rsidP="002F6413">
      <w:pPr>
        <w:jc w:val="both"/>
        <w:rPr>
          <w:rFonts w:ascii="Tahoma" w:hAnsi="Tahoma" w:cs="Tahoma"/>
          <w:sz w:val="24"/>
          <w:szCs w:val="24"/>
          <w:lang w:val="en-US"/>
        </w:rPr>
      </w:pPr>
    </w:p>
    <w:p w:rsidR="009B57E6" w:rsidRPr="00363248" w:rsidRDefault="009B57E6" w:rsidP="002F6413">
      <w:pPr>
        <w:jc w:val="both"/>
        <w:rPr>
          <w:rFonts w:ascii="Tahoma" w:hAnsi="Tahoma" w:cs="Tahoma"/>
          <w:sz w:val="24"/>
          <w:szCs w:val="24"/>
          <w:lang w:val="en-US"/>
        </w:rPr>
      </w:pPr>
    </w:p>
    <w:p w:rsidR="009B57E6" w:rsidRPr="00363248" w:rsidRDefault="009B57E6" w:rsidP="002F6413">
      <w:pPr>
        <w:jc w:val="both"/>
        <w:rPr>
          <w:rFonts w:ascii="Tahoma" w:hAnsi="Tahoma" w:cs="Tahoma"/>
          <w:sz w:val="24"/>
          <w:szCs w:val="24"/>
          <w:lang w:val="en-US"/>
        </w:rPr>
      </w:pPr>
    </w:p>
    <w:p w:rsidR="009B57E6" w:rsidRPr="00363248" w:rsidRDefault="009B57E6" w:rsidP="002F6413">
      <w:pPr>
        <w:jc w:val="both"/>
        <w:rPr>
          <w:rFonts w:ascii="Tahoma" w:hAnsi="Tahoma" w:cs="Tahoma"/>
          <w:sz w:val="24"/>
          <w:szCs w:val="24"/>
          <w:lang w:val="en-US"/>
        </w:rPr>
      </w:pPr>
    </w:p>
    <w:p w:rsidR="009B57E6" w:rsidRPr="00363248" w:rsidRDefault="009B57E6" w:rsidP="002F6413">
      <w:pPr>
        <w:jc w:val="both"/>
        <w:rPr>
          <w:rFonts w:ascii="Tahoma" w:hAnsi="Tahoma" w:cs="Tahoma"/>
          <w:sz w:val="24"/>
          <w:szCs w:val="24"/>
          <w:lang w:val="en-US"/>
        </w:rPr>
      </w:pPr>
    </w:p>
    <w:p w:rsidR="009B57E6" w:rsidRPr="00363248" w:rsidRDefault="009B57E6" w:rsidP="002F6413">
      <w:pPr>
        <w:jc w:val="both"/>
        <w:rPr>
          <w:rFonts w:ascii="Tahoma" w:hAnsi="Tahoma" w:cs="Tahoma"/>
          <w:sz w:val="24"/>
          <w:szCs w:val="24"/>
          <w:lang w:val="en-US"/>
        </w:rPr>
      </w:pPr>
    </w:p>
    <w:p w:rsidR="009B57E6" w:rsidRPr="00363248" w:rsidRDefault="009B57E6" w:rsidP="002F6413">
      <w:pPr>
        <w:jc w:val="both"/>
        <w:rPr>
          <w:rFonts w:ascii="Tahoma" w:hAnsi="Tahoma" w:cs="Tahoma"/>
          <w:sz w:val="24"/>
          <w:szCs w:val="24"/>
          <w:lang w:val="en-US"/>
        </w:rPr>
      </w:pPr>
    </w:p>
    <w:p w:rsidR="009B57E6" w:rsidRPr="00363248" w:rsidRDefault="009B57E6" w:rsidP="002F6413">
      <w:pPr>
        <w:jc w:val="both"/>
        <w:rPr>
          <w:rFonts w:ascii="Tahoma" w:hAnsi="Tahoma" w:cs="Tahoma"/>
          <w:sz w:val="24"/>
          <w:szCs w:val="24"/>
          <w:lang w:val="en-US"/>
        </w:rPr>
      </w:pPr>
    </w:p>
    <w:p w:rsidR="009B57E6" w:rsidRPr="00363248" w:rsidRDefault="009B57E6" w:rsidP="002F6413">
      <w:pPr>
        <w:jc w:val="both"/>
        <w:rPr>
          <w:rFonts w:ascii="Tahoma" w:hAnsi="Tahoma" w:cs="Tahoma"/>
          <w:sz w:val="24"/>
          <w:szCs w:val="24"/>
          <w:lang w:val="en-US"/>
        </w:rPr>
      </w:pPr>
    </w:p>
    <w:p w:rsidR="009B57E6" w:rsidRPr="00363248" w:rsidRDefault="009B57E6" w:rsidP="002F6413">
      <w:pPr>
        <w:jc w:val="both"/>
        <w:rPr>
          <w:rFonts w:ascii="Tahoma" w:hAnsi="Tahoma" w:cs="Tahoma"/>
          <w:sz w:val="24"/>
          <w:szCs w:val="24"/>
          <w:lang w:val="en-US"/>
        </w:rPr>
      </w:pPr>
    </w:p>
    <w:p w:rsidR="009B57E6" w:rsidRPr="00363248" w:rsidRDefault="009B57E6" w:rsidP="002F6413">
      <w:pPr>
        <w:jc w:val="both"/>
        <w:rPr>
          <w:rFonts w:ascii="Tahoma" w:hAnsi="Tahoma" w:cs="Tahoma"/>
          <w:sz w:val="24"/>
          <w:szCs w:val="24"/>
          <w:lang w:val="en-US"/>
        </w:rPr>
      </w:pPr>
    </w:p>
    <w:p w:rsidR="00DD44C3" w:rsidRPr="00363248" w:rsidRDefault="00DD44C3" w:rsidP="002F6413">
      <w:pPr>
        <w:jc w:val="both"/>
        <w:rPr>
          <w:rFonts w:ascii="Tahoma" w:hAnsi="Tahoma" w:cs="Tahoma"/>
          <w:sz w:val="24"/>
          <w:szCs w:val="24"/>
          <w:lang w:val="en-US"/>
        </w:rPr>
      </w:pPr>
    </w:p>
    <w:sectPr w:rsidR="00DD44C3" w:rsidRPr="00363248" w:rsidSect="0052623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39B" w:rsidRDefault="00F5039B" w:rsidP="00742E0A">
      <w:pPr>
        <w:spacing w:after="0" w:line="240" w:lineRule="auto"/>
      </w:pPr>
      <w:r>
        <w:separator/>
      </w:r>
    </w:p>
  </w:endnote>
  <w:endnote w:type="continuationSeparator" w:id="0">
    <w:p w:rsidR="00F5039B" w:rsidRDefault="00F5039B" w:rsidP="00742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enturyGothic">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LiberationSerif">
    <w:altName w:val="MS Mincho"/>
    <w:panose1 w:val="00000000000000000000"/>
    <w:charset w:val="80"/>
    <w:family w:val="auto"/>
    <w:notTrueType/>
    <w:pitch w:val="default"/>
    <w:sig w:usb0="00000000" w:usb1="08070000" w:usb2="00000010" w:usb3="00000000" w:csb0="00020000" w:csb1="00000000"/>
  </w:font>
  <w:font w:name="AGaramond-Semi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70032"/>
      <w:docPartObj>
        <w:docPartGallery w:val="Page Numbers (Bottom of Page)"/>
        <w:docPartUnique/>
      </w:docPartObj>
    </w:sdtPr>
    <w:sdtEndPr/>
    <w:sdtContent>
      <w:p w:rsidR="009879A8" w:rsidRDefault="00370F64">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rsidR="009879A8" w:rsidRDefault="009879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39B" w:rsidRDefault="00F5039B" w:rsidP="00742E0A">
      <w:pPr>
        <w:spacing w:after="0" w:line="240" w:lineRule="auto"/>
      </w:pPr>
      <w:r>
        <w:separator/>
      </w:r>
    </w:p>
  </w:footnote>
  <w:footnote w:type="continuationSeparator" w:id="0">
    <w:p w:rsidR="00F5039B" w:rsidRDefault="00F5039B" w:rsidP="00742E0A">
      <w:pPr>
        <w:spacing w:after="0" w:line="240" w:lineRule="auto"/>
      </w:pPr>
      <w:r>
        <w:continuationSeparator/>
      </w:r>
    </w:p>
  </w:footnote>
  <w:footnote w:id="1">
    <w:p w:rsidR="009879A8" w:rsidRPr="00E43EDA" w:rsidRDefault="009879A8">
      <w:pPr>
        <w:pStyle w:val="FootnoteText"/>
      </w:pPr>
      <w:r w:rsidRPr="00E43EDA">
        <w:rPr>
          <w:rStyle w:val="FootnoteReference"/>
        </w:rPr>
        <w:footnoteRef/>
      </w:r>
      <w:r w:rsidRPr="00E43EDA">
        <w:rPr>
          <w:lang w:val="en-US"/>
        </w:rPr>
        <w:t xml:space="preserve"> Read on this issue I. LEBRUN, </w:t>
      </w:r>
      <w:r w:rsidRPr="00E43EDA">
        <w:rPr>
          <w:i/>
          <w:lang w:val="en-US"/>
        </w:rPr>
        <w:t>What has been the damage of the financial crisis to the Belgian GDP</w:t>
      </w:r>
      <w:proofErr w:type="gramStart"/>
      <w:r w:rsidRPr="00E43EDA">
        <w:rPr>
          <w:i/>
          <w:lang w:val="en-US"/>
        </w:rPr>
        <w:t>?,</w:t>
      </w:r>
      <w:proofErr w:type="gramEnd"/>
      <w:r w:rsidRPr="00E43EDA">
        <w:rPr>
          <w:i/>
          <w:lang w:val="en-US"/>
        </w:rPr>
        <w:t xml:space="preserve"> </w:t>
      </w:r>
      <w:r w:rsidRPr="00E43EDA">
        <w:rPr>
          <w:lang w:val="en-US"/>
        </w:rPr>
        <w:t xml:space="preserve">Brussels, Federal Planning Bureau, 2011, 17p.  Although Belgium was very often cited as one of the countries which was threatened to be affected by the crisis during the long term government negotiations in 2010-2011 for the formation of a federal government. However, in the end, Belgium never suffered as Portugal, Italy, Greece and Spain.  </w:t>
      </w:r>
      <w:r w:rsidRPr="00E43EDA">
        <w:t>For the Netherlands, read M. BIJLSMA, A. VAN DER HORST and S. KOK, “De kredietcrisis – oorzaken, gevolgen en beleid”, TPEDigitaal (3)1, 48-67.</w:t>
      </w:r>
    </w:p>
  </w:footnote>
  <w:footnote w:id="2">
    <w:p w:rsidR="009879A8" w:rsidRPr="00E43EDA" w:rsidRDefault="009879A8">
      <w:pPr>
        <w:pStyle w:val="FootnoteText"/>
        <w:rPr>
          <w:lang w:val="en-US"/>
        </w:rPr>
      </w:pPr>
      <w:r w:rsidRPr="00E43EDA">
        <w:rPr>
          <w:rStyle w:val="FootnoteReference"/>
        </w:rPr>
        <w:footnoteRef/>
      </w:r>
      <w:r w:rsidRPr="00E43EDA">
        <w:rPr>
          <w:lang w:val="en-US"/>
        </w:rPr>
        <w:t xml:space="preserve"> ECJ, C- 370/12, Pringle v. Ireland to be consulted on </w:t>
      </w:r>
      <w:hyperlink r:id="rId1" w:history="1">
        <w:r w:rsidRPr="00E43EDA">
          <w:rPr>
            <w:rStyle w:val="Hyperlink"/>
            <w:lang w:val="en-US"/>
          </w:rPr>
          <w:t>www.curia.int</w:t>
        </w:r>
      </w:hyperlink>
      <w:r w:rsidRPr="00E43EDA">
        <w:rPr>
          <w:lang w:val="en-US"/>
        </w:rPr>
        <w:t xml:space="preserve"> </w:t>
      </w:r>
    </w:p>
  </w:footnote>
  <w:footnote w:id="3">
    <w:p w:rsidR="009879A8" w:rsidRPr="00E43EDA" w:rsidRDefault="009879A8" w:rsidP="00436EB4">
      <w:pPr>
        <w:pStyle w:val="Default"/>
        <w:jc w:val="both"/>
        <w:rPr>
          <w:rFonts w:asciiTheme="minorHAnsi" w:hAnsiTheme="minorHAnsi" w:cs="EUAlbertina"/>
          <w:sz w:val="20"/>
          <w:szCs w:val="20"/>
          <w:lang w:val="en-US"/>
        </w:rPr>
      </w:pPr>
      <w:r w:rsidRPr="00E43EDA">
        <w:rPr>
          <w:rStyle w:val="FootnoteReference"/>
          <w:rFonts w:asciiTheme="minorHAnsi" w:hAnsiTheme="minorHAnsi"/>
          <w:sz w:val="20"/>
          <w:szCs w:val="20"/>
        </w:rPr>
        <w:footnoteRef/>
      </w:r>
      <w:r w:rsidRPr="00E43EDA">
        <w:rPr>
          <w:rFonts w:asciiTheme="minorHAnsi" w:hAnsiTheme="minorHAnsi"/>
          <w:sz w:val="20"/>
          <w:szCs w:val="20"/>
          <w:lang w:val="en-US"/>
        </w:rPr>
        <w:t xml:space="preserve"> European Council Decision 2011/199</w:t>
      </w:r>
      <w:proofErr w:type="gramStart"/>
      <w:r w:rsidRPr="00E43EDA">
        <w:rPr>
          <w:rFonts w:asciiTheme="minorHAnsi" w:hAnsiTheme="minorHAnsi"/>
          <w:sz w:val="20"/>
          <w:szCs w:val="20"/>
          <w:lang w:val="en-US"/>
        </w:rPr>
        <w:t>,  25</w:t>
      </w:r>
      <w:proofErr w:type="gramEnd"/>
      <w:r w:rsidRPr="00E43EDA">
        <w:rPr>
          <w:rFonts w:asciiTheme="minorHAnsi" w:hAnsiTheme="minorHAnsi"/>
          <w:sz w:val="20"/>
          <w:szCs w:val="20"/>
          <w:lang w:val="en-US"/>
        </w:rPr>
        <w:t xml:space="preserve"> March 2011 </w:t>
      </w:r>
      <w:r w:rsidRPr="00E43EDA">
        <w:rPr>
          <w:rFonts w:asciiTheme="minorHAnsi" w:hAnsiTheme="minorHAnsi" w:cs="EUAlbertina"/>
          <w:bCs/>
          <w:sz w:val="20"/>
          <w:szCs w:val="20"/>
          <w:lang w:val="en-US"/>
        </w:rPr>
        <w:t xml:space="preserve">amending Article 136 of the Treaty on the Functioning of the European Union with regard to a stability mechanism for Member States whose currency is the euro, </w:t>
      </w:r>
      <w:r w:rsidRPr="00E43EDA">
        <w:rPr>
          <w:rFonts w:asciiTheme="minorHAnsi" w:hAnsiTheme="minorHAnsi" w:cs="EUAlbertina"/>
          <w:bCs/>
          <w:i/>
          <w:sz w:val="20"/>
          <w:szCs w:val="20"/>
          <w:lang w:val="en-US"/>
        </w:rPr>
        <w:t>Official Journal of the EU</w:t>
      </w:r>
      <w:r w:rsidRPr="00E43EDA">
        <w:rPr>
          <w:rFonts w:asciiTheme="minorHAnsi" w:hAnsiTheme="minorHAnsi" w:cs="EUAlbertina"/>
          <w:bCs/>
          <w:sz w:val="20"/>
          <w:szCs w:val="20"/>
          <w:lang w:val="en-US"/>
        </w:rPr>
        <w:t>, 6 April 2011, 91/1-91/2.</w:t>
      </w:r>
    </w:p>
  </w:footnote>
  <w:footnote w:id="4">
    <w:p w:rsidR="009879A8" w:rsidRPr="00E43EDA" w:rsidRDefault="009879A8">
      <w:pPr>
        <w:pStyle w:val="FootnoteText"/>
        <w:rPr>
          <w:lang w:val="en-US"/>
        </w:rPr>
      </w:pPr>
      <w:r w:rsidRPr="00E43EDA">
        <w:rPr>
          <w:rStyle w:val="FootnoteReference"/>
        </w:rPr>
        <w:footnoteRef/>
      </w:r>
      <w:r w:rsidRPr="00E43EDA">
        <w:rPr>
          <w:lang w:val="en-US"/>
        </w:rPr>
        <w:t xml:space="preserve"> Bundesverfassungsgericht, 12 September 2012, 2 BvR 1390/12 to be consulted at </w:t>
      </w:r>
      <w:hyperlink r:id="rId2" w:history="1">
        <w:r w:rsidRPr="00E43EDA">
          <w:rPr>
            <w:rStyle w:val="Hyperlink"/>
            <w:lang w:val="en-US"/>
          </w:rPr>
          <w:t>www.bfverg.de</w:t>
        </w:r>
      </w:hyperlink>
      <w:r w:rsidRPr="00E43EDA">
        <w:rPr>
          <w:lang w:val="en-US"/>
        </w:rPr>
        <w:t xml:space="preserve"> </w:t>
      </w:r>
    </w:p>
  </w:footnote>
  <w:footnote w:id="5">
    <w:p w:rsidR="009879A8" w:rsidRPr="00E43EDA" w:rsidRDefault="009879A8">
      <w:pPr>
        <w:pStyle w:val="FootnoteText"/>
        <w:rPr>
          <w:lang w:val="en-US"/>
        </w:rPr>
      </w:pPr>
      <w:r w:rsidRPr="00E43EDA">
        <w:rPr>
          <w:rStyle w:val="FootnoteReference"/>
        </w:rPr>
        <w:footnoteRef/>
      </w:r>
      <w:r w:rsidRPr="00E43EDA">
        <w:rPr>
          <w:lang w:val="en-US"/>
        </w:rPr>
        <w:t xml:space="preserve"> European Commission, Financial Sector Adjustment Programme for Spain, October 2012 to be consulted at </w:t>
      </w:r>
      <w:hyperlink r:id="rId3" w:history="1">
        <w:r w:rsidRPr="00E43EDA">
          <w:rPr>
            <w:rStyle w:val="Hyperlink"/>
            <w:lang w:val="en-US"/>
          </w:rPr>
          <w:t>http://ec.europa.eu/economy_finance/publications/occasional_paper/2012/pdf/ocp118_en.pdf</w:t>
        </w:r>
      </w:hyperlink>
      <w:proofErr w:type="gramStart"/>
      <w:r w:rsidRPr="00E43EDA">
        <w:rPr>
          <w:lang w:val="en-US"/>
        </w:rPr>
        <w:t xml:space="preserve"> .</w:t>
      </w:r>
      <w:proofErr w:type="gramEnd"/>
      <w:r w:rsidRPr="00E43EDA">
        <w:rPr>
          <w:lang w:val="en-US"/>
        </w:rPr>
        <w:t xml:space="preserve"> It may be worth to note that Spain has achieved its goals, set out in the Financial Sector Adjustment Programme after 18 months. Vice-President of the European Commission Olli Rehn concluded that the programme had worked in a statement on 22 January 2014. This statement can be read at European Commission - MEMO/14/51   22/01/2014.</w:t>
      </w:r>
    </w:p>
  </w:footnote>
  <w:footnote w:id="6">
    <w:p w:rsidR="009879A8" w:rsidRPr="00E43EDA" w:rsidRDefault="009879A8">
      <w:pPr>
        <w:pStyle w:val="FootnoteText"/>
        <w:rPr>
          <w:lang w:val="en-US"/>
        </w:rPr>
      </w:pPr>
      <w:r w:rsidRPr="00E43EDA">
        <w:rPr>
          <w:rStyle w:val="FootnoteReference"/>
        </w:rPr>
        <w:footnoteRef/>
      </w:r>
      <w:r w:rsidRPr="00E43EDA">
        <w:rPr>
          <w:lang w:val="en-US"/>
        </w:rPr>
        <w:t xml:space="preserve"> On this topic, one may read P</w:t>
      </w:r>
      <w:proofErr w:type="gramStart"/>
      <w:r w:rsidRPr="00E43EDA">
        <w:rPr>
          <w:lang w:val="en-US"/>
        </w:rPr>
        <w:t>.-</w:t>
      </w:r>
      <w:proofErr w:type="gramEnd"/>
      <w:r w:rsidRPr="00E43EDA">
        <w:rPr>
          <w:lang w:val="en-US"/>
        </w:rPr>
        <w:t xml:space="preserve">A. VAN MALLEGHEM, “Pringle: a paradigm shift in the European Union’s Monetary Constitution”, </w:t>
      </w:r>
      <w:r w:rsidRPr="00E43EDA">
        <w:rPr>
          <w:i/>
          <w:lang w:val="en-US"/>
        </w:rPr>
        <w:t>German Law Journal</w:t>
      </w:r>
      <w:r w:rsidRPr="00E43EDA">
        <w:rPr>
          <w:lang w:val="en-US"/>
        </w:rPr>
        <w:t>, 2013, 141-168.</w:t>
      </w:r>
    </w:p>
  </w:footnote>
  <w:footnote w:id="7">
    <w:p w:rsidR="009879A8" w:rsidRPr="00E43EDA" w:rsidRDefault="009879A8" w:rsidP="00DA0327">
      <w:pPr>
        <w:autoSpaceDE w:val="0"/>
        <w:autoSpaceDN w:val="0"/>
        <w:adjustRightInd w:val="0"/>
        <w:spacing w:after="0" w:line="240" w:lineRule="auto"/>
        <w:rPr>
          <w:rFonts w:cs="Georgia"/>
          <w:sz w:val="20"/>
          <w:szCs w:val="20"/>
          <w:lang w:val="en-US"/>
        </w:rPr>
      </w:pPr>
      <w:r w:rsidRPr="00E43EDA">
        <w:rPr>
          <w:rStyle w:val="FootnoteReference"/>
          <w:sz w:val="20"/>
          <w:szCs w:val="20"/>
        </w:rPr>
        <w:footnoteRef/>
      </w:r>
      <w:r w:rsidRPr="00E43EDA">
        <w:rPr>
          <w:sz w:val="20"/>
          <w:szCs w:val="20"/>
          <w:lang w:val="en-US"/>
        </w:rPr>
        <w:t xml:space="preserve"> </w:t>
      </w:r>
      <w:proofErr w:type="gramStart"/>
      <w:r w:rsidRPr="00E43EDA">
        <w:rPr>
          <w:sz w:val="20"/>
          <w:szCs w:val="20"/>
          <w:lang w:val="en-US"/>
        </w:rPr>
        <w:t xml:space="preserve">European Commission, </w:t>
      </w:r>
      <w:r w:rsidRPr="00E43EDA">
        <w:rPr>
          <w:rFonts w:cs="Georgia"/>
          <w:sz w:val="20"/>
          <w:szCs w:val="20"/>
          <w:lang w:val="en-US"/>
        </w:rPr>
        <w:t xml:space="preserve">Directorate-General for Economic and Financial Affairs, </w:t>
      </w:r>
      <w:r w:rsidRPr="00E43EDA">
        <w:rPr>
          <w:rFonts w:cs="Georgia"/>
          <w:i/>
          <w:sz w:val="20"/>
          <w:szCs w:val="20"/>
          <w:lang w:val="en-US"/>
        </w:rPr>
        <w:t>The Economic Adjustment Programme for Portugal</w:t>
      </w:r>
      <w:r w:rsidRPr="00E43EDA">
        <w:rPr>
          <w:rFonts w:cs="Georgia"/>
          <w:sz w:val="20"/>
          <w:szCs w:val="20"/>
          <w:lang w:val="en-US"/>
        </w:rPr>
        <w:t>, June 2011, 12 and 17.</w:t>
      </w:r>
      <w:proofErr w:type="gramEnd"/>
    </w:p>
  </w:footnote>
  <w:footnote w:id="8">
    <w:p w:rsidR="009879A8" w:rsidRPr="00E43EDA" w:rsidRDefault="009879A8">
      <w:pPr>
        <w:pStyle w:val="FootnoteText"/>
        <w:rPr>
          <w:lang w:val="en-US"/>
        </w:rPr>
      </w:pPr>
      <w:r w:rsidRPr="00E43EDA">
        <w:rPr>
          <w:rStyle w:val="FootnoteReference"/>
        </w:rPr>
        <w:footnoteRef/>
      </w:r>
      <w:r w:rsidRPr="00E43EDA">
        <w:rPr>
          <w:lang w:val="en-US"/>
        </w:rPr>
        <w:t xml:space="preserve"> </w:t>
      </w:r>
      <w:proofErr w:type="gramStart"/>
      <w:r w:rsidRPr="00E43EDA">
        <w:rPr>
          <w:lang w:val="en-US"/>
        </w:rPr>
        <w:t xml:space="preserve">European Commission, </w:t>
      </w:r>
      <w:r w:rsidRPr="00E43EDA">
        <w:rPr>
          <w:i/>
          <w:lang w:val="en-US"/>
        </w:rPr>
        <w:t>Financial Sector Adjustment Programme for Spain</w:t>
      </w:r>
      <w:r w:rsidRPr="00E43EDA">
        <w:rPr>
          <w:lang w:val="en-US"/>
        </w:rPr>
        <w:t>, October 2012, 47.</w:t>
      </w:r>
      <w:proofErr w:type="gramEnd"/>
    </w:p>
  </w:footnote>
  <w:footnote w:id="9">
    <w:p w:rsidR="009879A8" w:rsidRPr="00E43EDA" w:rsidRDefault="009879A8" w:rsidP="00DC01A1">
      <w:pPr>
        <w:pStyle w:val="FootnoteText"/>
        <w:rPr>
          <w:lang w:val="en-US"/>
        </w:rPr>
      </w:pPr>
      <w:r w:rsidRPr="00E43EDA">
        <w:rPr>
          <w:rStyle w:val="FootnoteReference"/>
        </w:rPr>
        <w:footnoteRef/>
      </w:r>
      <w:r w:rsidRPr="00E43EDA">
        <w:rPr>
          <w:lang w:val="en-US"/>
        </w:rPr>
        <w:t xml:space="preserve"> Report from The Commission in accordance with article 104 (3) of the Treaty on 7 October 2009 on Belgium and Report from The Commission in accordance with article 104 (3) of the Treaty on 7 October 2009 on the Netherlands.</w:t>
      </w:r>
    </w:p>
  </w:footnote>
  <w:footnote w:id="10">
    <w:p w:rsidR="009879A8" w:rsidRPr="00E43EDA" w:rsidRDefault="009879A8" w:rsidP="00DA0327">
      <w:pPr>
        <w:autoSpaceDE w:val="0"/>
        <w:autoSpaceDN w:val="0"/>
        <w:adjustRightInd w:val="0"/>
        <w:spacing w:after="0" w:line="240" w:lineRule="auto"/>
        <w:rPr>
          <w:rFonts w:cs="Georgia"/>
          <w:sz w:val="20"/>
          <w:szCs w:val="20"/>
          <w:lang w:val="en-US"/>
        </w:rPr>
      </w:pPr>
      <w:r w:rsidRPr="00E43EDA">
        <w:rPr>
          <w:rStyle w:val="FootnoteReference"/>
        </w:rPr>
        <w:footnoteRef/>
      </w:r>
      <w:r w:rsidRPr="00E43EDA">
        <w:rPr>
          <w:lang w:val="en-US"/>
        </w:rPr>
        <w:t xml:space="preserve"> </w:t>
      </w:r>
      <w:proofErr w:type="gramStart"/>
      <w:r w:rsidRPr="00E43EDA">
        <w:rPr>
          <w:sz w:val="20"/>
          <w:szCs w:val="20"/>
          <w:lang w:val="en-US"/>
        </w:rPr>
        <w:t xml:space="preserve">European Commission, </w:t>
      </w:r>
      <w:r w:rsidRPr="00E43EDA">
        <w:rPr>
          <w:rFonts w:cs="Georgia"/>
          <w:sz w:val="20"/>
          <w:szCs w:val="20"/>
          <w:lang w:val="en-US"/>
        </w:rPr>
        <w:t xml:space="preserve">Directorate-General for Economic and Financial Affairs, </w:t>
      </w:r>
      <w:r w:rsidRPr="00E43EDA">
        <w:rPr>
          <w:rFonts w:cs="Georgia"/>
          <w:i/>
          <w:sz w:val="20"/>
          <w:szCs w:val="20"/>
          <w:lang w:val="en-US"/>
        </w:rPr>
        <w:t>The Economic Adjustment Programme for Portugal</w:t>
      </w:r>
      <w:r w:rsidRPr="00E43EDA">
        <w:rPr>
          <w:rFonts w:cs="Georgia"/>
          <w:sz w:val="20"/>
          <w:szCs w:val="20"/>
          <w:lang w:val="en-US"/>
        </w:rPr>
        <w:t>, June 2011, 17.</w:t>
      </w:r>
      <w:proofErr w:type="gramEnd"/>
    </w:p>
  </w:footnote>
  <w:footnote w:id="11">
    <w:p w:rsidR="009879A8" w:rsidRPr="00E43EDA" w:rsidRDefault="009879A8">
      <w:pPr>
        <w:pStyle w:val="FootnoteText"/>
        <w:rPr>
          <w:lang w:val="en-US"/>
        </w:rPr>
      </w:pPr>
      <w:r w:rsidRPr="00E43EDA">
        <w:rPr>
          <w:rStyle w:val="FootnoteReference"/>
        </w:rPr>
        <w:footnoteRef/>
      </w:r>
      <w:r w:rsidRPr="00E43EDA">
        <w:rPr>
          <w:lang w:val="en-US"/>
        </w:rPr>
        <w:t xml:space="preserve"> </w:t>
      </w:r>
      <w:proofErr w:type="gramStart"/>
      <w:r w:rsidRPr="00E43EDA">
        <w:rPr>
          <w:lang w:val="en-US"/>
        </w:rPr>
        <w:t>Real Decreto- Ley 8/2010, 20 May 2010, BOE, 24 May 2010, 45072.</w:t>
      </w:r>
      <w:proofErr w:type="gramEnd"/>
    </w:p>
  </w:footnote>
  <w:footnote w:id="12">
    <w:p w:rsidR="009879A8" w:rsidRPr="00E43EDA" w:rsidRDefault="009879A8" w:rsidP="00DC01A1">
      <w:pPr>
        <w:pStyle w:val="FootnoteText"/>
        <w:rPr>
          <w:lang w:val="en-US"/>
        </w:rPr>
      </w:pPr>
      <w:r w:rsidRPr="00E43EDA">
        <w:rPr>
          <w:rStyle w:val="FootnoteReference"/>
        </w:rPr>
        <w:footnoteRef/>
      </w:r>
      <w:r w:rsidRPr="00E43EDA">
        <w:rPr>
          <w:lang w:val="en-US"/>
        </w:rPr>
        <w:t xml:space="preserve"> Report from The Commission in accordance with article 104 (3) of the Treaty on 7 October 2009 on Belgium, 2.</w:t>
      </w:r>
    </w:p>
  </w:footnote>
  <w:footnote w:id="13">
    <w:p w:rsidR="009879A8" w:rsidRPr="00E43EDA" w:rsidRDefault="009879A8" w:rsidP="00DC01A1">
      <w:pPr>
        <w:pStyle w:val="FootnoteText"/>
        <w:rPr>
          <w:lang w:val="en-US"/>
        </w:rPr>
      </w:pPr>
      <w:r w:rsidRPr="00E43EDA">
        <w:rPr>
          <w:rStyle w:val="FootnoteReference"/>
        </w:rPr>
        <w:footnoteRef/>
      </w:r>
      <w:r w:rsidRPr="00E43EDA">
        <w:rPr>
          <w:lang w:val="en-US"/>
        </w:rPr>
        <w:t xml:space="preserve"> Report from The Commission in accordance with article 104 (3) of the Treaty on 7 October 2009 on Belgium, 6.</w:t>
      </w:r>
    </w:p>
  </w:footnote>
  <w:footnote w:id="14">
    <w:p w:rsidR="009879A8" w:rsidRPr="00E43EDA" w:rsidRDefault="009879A8" w:rsidP="00DC01A1">
      <w:pPr>
        <w:pStyle w:val="FootnoteText"/>
        <w:rPr>
          <w:lang w:val="en-US"/>
        </w:rPr>
      </w:pPr>
      <w:r w:rsidRPr="00E43EDA">
        <w:rPr>
          <w:rStyle w:val="FootnoteReference"/>
        </w:rPr>
        <w:footnoteRef/>
      </w:r>
      <w:r w:rsidRPr="00E43EDA">
        <w:rPr>
          <w:lang w:val="en-US"/>
        </w:rPr>
        <w:t xml:space="preserve"> Report from The Commission in accordance with article 104 (3) of the Treaty on 7 October 2009 on Belgium, 6.</w:t>
      </w:r>
    </w:p>
  </w:footnote>
  <w:footnote w:id="15">
    <w:p w:rsidR="009879A8" w:rsidRPr="00E43EDA" w:rsidRDefault="009879A8" w:rsidP="001A3C31">
      <w:pPr>
        <w:autoSpaceDE w:val="0"/>
        <w:autoSpaceDN w:val="0"/>
        <w:adjustRightInd w:val="0"/>
        <w:spacing w:after="0" w:line="240" w:lineRule="auto"/>
        <w:rPr>
          <w:rFonts w:ascii="AGaramond-Semibold" w:hAnsi="AGaramond-Semibold" w:cs="AGaramond-Semibold"/>
          <w:b/>
          <w:bCs/>
          <w:sz w:val="20"/>
          <w:szCs w:val="20"/>
          <w:lang w:val="en-US"/>
        </w:rPr>
      </w:pPr>
      <w:r w:rsidRPr="00E43EDA">
        <w:rPr>
          <w:rStyle w:val="FootnoteReference"/>
          <w:sz w:val="20"/>
          <w:szCs w:val="20"/>
        </w:rPr>
        <w:footnoteRef/>
      </w:r>
      <w:r w:rsidRPr="00E43EDA">
        <w:rPr>
          <w:sz w:val="20"/>
          <w:szCs w:val="20"/>
          <w:lang w:val="en-US"/>
        </w:rPr>
        <w:t xml:space="preserve"> Read on this topic M. MANUEL CAMPOS and M. COUTINHO PEREIRA, “</w:t>
      </w:r>
      <w:r w:rsidRPr="00E43EDA">
        <w:rPr>
          <w:rFonts w:cs="AGaramond-Semibold"/>
          <w:bCs/>
          <w:sz w:val="20"/>
          <w:szCs w:val="20"/>
          <w:lang w:val="en-US"/>
        </w:rPr>
        <w:t>Impact of the recent reform of the Portuguese public employees’ pension system”, Banco de Portugal Working Paper, 2008, 44p.</w:t>
      </w:r>
    </w:p>
  </w:footnote>
  <w:footnote w:id="16">
    <w:p w:rsidR="009879A8" w:rsidRPr="00E43EDA" w:rsidRDefault="009879A8">
      <w:pPr>
        <w:pStyle w:val="FootnoteText"/>
        <w:rPr>
          <w:lang w:val="en-US"/>
        </w:rPr>
      </w:pPr>
      <w:r w:rsidRPr="00E43EDA">
        <w:rPr>
          <w:rStyle w:val="FootnoteReference"/>
        </w:rPr>
        <w:footnoteRef/>
      </w:r>
      <w:r w:rsidRPr="00E43EDA">
        <w:rPr>
          <w:lang w:val="en-US"/>
        </w:rPr>
        <w:t xml:space="preserve"> Constitutional Court (Portugal), decision 353/2012</w:t>
      </w:r>
      <w:proofErr w:type="gramStart"/>
      <w:r w:rsidRPr="00E43EDA">
        <w:rPr>
          <w:lang w:val="en-US"/>
        </w:rPr>
        <w:t>,  5</w:t>
      </w:r>
      <w:proofErr w:type="gramEnd"/>
      <w:r w:rsidRPr="00E43EDA">
        <w:rPr>
          <w:lang w:val="en-US"/>
        </w:rPr>
        <w:t xml:space="preserve"> July 2012 to be consulted on </w:t>
      </w:r>
      <w:hyperlink r:id="rId4" w:history="1">
        <w:r w:rsidRPr="00E43EDA">
          <w:rPr>
            <w:rStyle w:val="Hyperlink"/>
            <w:lang w:val="en-US"/>
          </w:rPr>
          <w:t>www.tribunalconstitucional.pt</w:t>
        </w:r>
      </w:hyperlink>
      <w:r w:rsidRPr="00E43EDA">
        <w:rPr>
          <w:lang w:val="en-US"/>
        </w:rPr>
        <w:t xml:space="preserve"> </w:t>
      </w:r>
    </w:p>
  </w:footnote>
  <w:footnote w:id="17">
    <w:p w:rsidR="009879A8" w:rsidRPr="00E43EDA" w:rsidRDefault="009879A8">
      <w:pPr>
        <w:pStyle w:val="FootnoteText"/>
        <w:rPr>
          <w:lang w:val="en-US"/>
        </w:rPr>
      </w:pPr>
      <w:r w:rsidRPr="00E43EDA">
        <w:rPr>
          <w:rStyle w:val="FootnoteReference"/>
        </w:rPr>
        <w:footnoteRef/>
      </w:r>
      <w:r w:rsidRPr="00E43EDA">
        <w:rPr>
          <w:lang w:val="en-US"/>
        </w:rPr>
        <w:t xml:space="preserve"> It may be important to add that a specific status for civil servants historically led to better pension conditions in most of the EU-Member States. Read on this topic A. DE BECKER, “</w:t>
      </w:r>
      <w:r w:rsidRPr="00E43EDA">
        <w:rPr>
          <w:szCs w:val="22"/>
          <w:lang w:val="en-US"/>
        </w:rPr>
        <w:t xml:space="preserve">The Legal Status of Public Employees or Public Servants: Comparing the Regulatory Frameworks in the UK, Belgium, France and the Netherlands”, </w:t>
      </w:r>
      <w:r w:rsidRPr="00E43EDA">
        <w:rPr>
          <w:i/>
          <w:szCs w:val="22"/>
          <w:lang w:val="en-US"/>
        </w:rPr>
        <w:t>CLLPJ</w:t>
      </w:r>
      <w:r w:rsidRPr="00E43EDA">
        <w:rPr>
          <w:szCs w:val="22"/>
          <w:lang w:val="en-US"/>
        </w:rPr>
        <w:t>, 2011/3, 949-990.</w:t>
      </w:r>
    </w:p>
  </w:footnote>
  <w:footnote w:id="18">
    <w:p w:rsidR="009879A8" w:rsidRPr="00E43EDA" w:rsidRDefault="009879A8">
      <w:pPr>
        <w:pStyle w:val="FootnoteText"/>
        <w:rPr>
          <w:lang w:val="en-US"/>
        </w:rPr>
      </w:pPr>
      <w:r w:rsidRPr="00E43EDA">
        <w:rPr>
          <w:rStyle w:val="FootnoteReference"/>
        </w:rPr>
        <w:footnoteRef/>
      </w:r>
      <w:r w:rsidRPr="00E43EDA">
        <w:rPr>
          <w:lang w:val="en-US"/>
        </w:rPr>
        <w:t xml:space="preserve"> </w:t>
      </w:r>
      <w:proofErr w:type="gramStart"/>
      <w:r w:rsidRPr="00E43EDA">
        <w:rPr>
          <w:lang w:val="en-US"/>
        </w:rPr>
        <w:t>Constitutional Court (Portugal), decision nr.</w:t>
      </w:r>
      <w:proofErr w:type="gramEnd"/>
      <w:r w:rsidRPr="00E43EDA">
        <w:rPr>
          <w:lang w:val="en-US"/>
        </w:rPr>
        <w:t xml:space="preserve"> 862/13, 19 December 2013 to be consulted on </w:t>
      </w:r>
      <w:hyperlink r:id="rId5" w:history="1">
        <w:r w:rsidRPr="00E43EDA">
          <w:rPr>
            <w:rStyle w:val="Hyperlink"/>
            <w:lang w:val="en-US"/>
          </w:rPr>
          <w:t>www.tribunalconstitutcional.pt</w:t>
        </w:r>
      </w:hyperlink>
      <w:r w:rsidRPr="00E43EDA">
        <w:rPr>
          <w:lang w:val="en-US"/>
        </w:rPr>
        <w:t xml:space="preserve"> </w:t>
      </w:r>
    </w:p>
  </w:footnote>
  <w:footnote w:id="19">
    <w:p w:rsidR="009879A8" w:rsidRPr="00E43EDA" w:rsidRDefault="009879A8">
      <w:pPr>
        <w:pStyle w:val="FootnoteText"/>
        <w:rPr>
          <w:lang w:val="en-US"/>
        </w:rPr>
      </w:pPr>
      <w:r w:rsidRPr="00E43EDA">
        <w:rPr>
          <w:rStyle w:val="FootnoteReference"/>
        </w:rPr>
        <w:footnoteRef/>
      </w:r>
      <w:r w:rsidRPr="00E43EDA">
        <w:rPr>
          <w:lang w:val="en-US"/>
        </w:rPr>
        <w:t xml:space="preserve"> </w:t>
      </w:r>
      <w:proofErr w:type="gramStart"/>
      <w:r w:rsidRPr="00E43EDA">
        <w:rPr>
          <w:lang w:val="en-US"/>
        </w:rPr>
        <w:t xml:space="preserve">Tenth Review of the European Commission, </w:t>
      </w:r>
      <w:r w:rsidRPr="00E43EDA">
        <w:rPr>
          <w:rFonts w:cs="Georgia"/>
          <w:lang w:val="en-US"/>
        </w:rPr>
        <w:t xml:space="preserve">Directorate-General for Economic and Financial Affairs, </w:t>
      </w:r>
      <w:r w:rsidRPr="00E43EDA">
        <w:rPr>
          <w:rFonts w:cs="Georgia"/>
          <w:i/>
          <w:lang w:val="en-US"/>
        </w:rPr>
        <w:t>The Economic Adjustment Programme for Portugal</w:t>
      </w:r>
      <w:r w:rsidRPr="00E43EDA">
        <w:rPr>
          <w:rFonts w:cs="Georgia"/>
          <w:lang w:val="en-US"/>
        </w:rPr>
        <w:t>, February 2014, 21, 23 and 55.</w:t>
      </w:r>
      <w:proofErr w:type="gramEnd"/>
    </w:p>
  </w:footnote>
  <w:footnote w:id="20">
    <w:p w:rsidR="009879A8" w:rsidRPr="00E43EDA" w:rsidRDefault="009879A8">
      <w:pPr>
        <w:pStyle w:val="FootnoteText"/>
        <w:rPr>
          <w:lang w:val="en-US"/>
        </w:rPr>
      </w:pPr>
      <w:r w:rsidRPr="00E43EDA">
        <w:rPr>
          <w:rStyle w:val="FootnoteReference"/>
        </w:rPr>
        <w:footnoteRef/>
      </w:r>
      <w:r w:rsidRPr="00E43EDA">
        <w:rPr>
          <w:lang w:val="en-US"/>
        </w:rPr>
        <w:t xml:space="preserve"> Tenth Review of the European Commission, </w:t>
      </w:r>
      <w:r w:rsidRPr="00E43EDA">
        <w:rPr>
          <w:rFonts w:cs="Georgia"/>
          <w:lang w:val="en-US"/>
        </w:rPr>
        <w:t xml:space="preserve">Directorate-General for Economic and Financial Affairs, </w:t>
      </w:r>
      <w:r w:rsidRPr="00E43EDA">
        <w:rPr>
          <w:rFonts w:cs="Georgia"/>
          <w:i/>
          <w:lang w:val="en-US"/>
        </w:rPr>
        <w:t>The Economic Adjustment Programme for Portugal</w:t>
      </w:r>
      <w:r w:rsidRPr="00E43EDA">
        <w:rPr>
          <w:rFonts w:cs="Georgia"/>
          <w:lang w:val="en-US"/>
        </w:rPr>
        <w:t>, February 2014, 78.</w:t>
      </w:r>
    </w:p>
  </w:footnote>
  <w:footnote w:id="21">
    <w:p w:rsidR="009879A8" w:rsidRPr="00E43EDA" w:rsidRDefault="009879A8">
      <w:pPr>
        <w:pStyle w:val="FootnoteText"/>
        <w:rPr>
          <w:lang w:val="en-US"/>
        </w:rPr>
      </w:pPr>
      <w:r w:rsidRPr="00E43EDA">
        <w:rPr>
          <w:rStyle w:val="FootnoteReference"/>
        </w:rPr>
        <w:footnoteRef/>
      </w:r>
      <w:r w:rsidRPr="00E43EDA">
        <w:rPr>
          <w:lang w:val="en-US"/>
        </w:rPr>
        <w:t xml:space="preserve"> See a.o. ECJ, Töpfer/Commission, C- 112/77, 3 May 1978, </w:t>
      </w:r>
      <w:r w:rsidRPr="00E43EDA">
        <w:rPr>
          <w:i/>
          <w:lang w:val="en-US"/>
        </w:rPr>
        <w:t>Jur</w:t>
      </w:r>
      <w:proofErr w:type="gramStart"/>
      <w:r w:rsidRPr="00E43EDA">
        <w:rPr>
          <w:i/>
          <w:lang w:val="en-US"/>
        </w:rPr>
        <w:t>.,</w:t>
      </w:r>
      <w:proofErr w:type="gramEnd"/>
      <w:r w:rsidRPr="00E43EDA">
        <w:rPr>
          <w:i/>
          <w:lang w:val="en-US"/>
        </w:rPr>
        <w:t xml:space="preserve"> </w:t>
      </w:r>
      <w:r w:rsidRPr="00E43EDA">
        <w:rPr>
          <w:lang w:val="en-US"/>
        </w:rPr>
        <w:t>1978, 1019; ECJ, Driessen C-13/92, 5 October 1993; ECJ, Elmeka, C-181/04, 14 September 2006.</w:t>
      </w:r>
    </w:p>
  </w:footnote>
  <w:footnote w:id="22">
    <w:p w:rsidR="009879A8" w:rsidRPr="00E43EDA" w:rsidRDefault="009879A8">
      <w:pPr>
        <w:pStyle w:val="FootnoteText"/>
        <w:rPr>
          <w:lang w:val="en-US"/>
        </w:rPr>
      </w:pPr>
      <w:r w:rsidRPr="00E43EDA">
        <w:rPr>
          <w:rStyle w:val="FootnoteReference"/>
        </w:rPr>
        <w:footnoteRef/>
      </w:r>
      <w:r w:rsidRPr="00E43EDA">
        <w:rPr>
          <w:lang w:val="en-US"/>
        </w:rPr>
        <w:t xml:space="preserve"> ECJ, Comm/the Netherlands, C-523/04, 24 April 2007.</w:t>
      </w:r>
    </w:p>
  </w:footnote>
  <w:footnote w:id="23">
    <w:p w:rsidR="009879A8" w:rsidRPr="00E43EDA" w:rsidRDefault="009879A8">
      <w:pPr>
        <w:pStyle w:val="FootnoteText"/>
        <w:rPr>
          <w:lang w:val="en-US"/>
        </w:rPr>
      </w:pPr>
      <w:r w:rsidRPr="00E43EDA">
        <w:rPr>
          <w:rStyle w:val="FootnoteReference"/>
        </w:rPr>
        <w:footnoteRef/>
      </w:r>
      <w:r w:rsidRPr="00E43EDA">
        <w:rPr>
          <w:lang w:val="en-US"/>
        </w:rPr>
        <w:t xml:space="preserve"> </w:t>
      </w:r>
      <w:proofErr w:type="gramStart"/>
      <w:r w:rsidRPr="00E43EDA">
        <w:rPr>
          <w:lang w:val="en-US"/>
        </w:rPr>
        <w:t>Constitutional Court (Spain), nr.</w:t>
      </w:r>
      <w:proofErr w:type="gramEnd"/>
      <w:r w:rsidRPr="00E43EDA">
        <w:rPr>
          <w:lang w:val="en-US"/>
        </w:rPr>
        <w:t xml:space="preserve"> 85/2011</w:t>
      </w:r>
      <w:proofErr w:type="gramStart"/>
      <w:r w:rsidRPr="00E43EDA">
        <w:rPr>
          <w:lang w:val="en-US"/>
        </w:rPr>
        <w:t>,  7</w:t>
      </w:r>
      <w:proofErr w:type="gramEnd"/>
      <w:r w:rsidRPr="00E43EDA">
        <w:rPr>
          <w:lang w:val="en-US"/>
        </w:rPr>
        <w:t xml:space="preserve"> June 2011 to be consulted at </w:t>
      </w:r>
      <w:hyperlink r:id="rId6" w:history="1">
        <w:r w:rsidRPr="00E43EDA">
          <w:rPr>
            <w:rStyle w:val="Hyperlink"/>
            <w:lang w:val="en-US"/>
          </w:rPr>
          <w:t>www.tribunalconstitucional.es</w:t>
        </w:r>
      </w:hyperlink>
      <w:r w:rsidRPr="00E43EDA">
        <w:rPr>
          <w:lang w:val="en-US"/>
        </w:rPr>
        <w:t xml:space="preserve"> </w:t>
      </w:r>
    </w:p>
  </w:footnote>
  <w:footnote w:id="24">
    <w:p w:rsidR="009879A8" w:rsidRPr="00E43EDA" w:rsidRDefault="009879A8">
      <w:pPr>
        <w:pStyle w:val="FootnoteText"/>
        <w:rPr>
          <w:lang w:val="en-US"/>
        </w:rPr>
      </w:pPr>
      <w:r w:rsidRPr="00E43EDA">
        <w:rPr>
          <w:rStyle w:val="FootnoteReference"/>
        </w:rPr>
        <w:footnoteRef/>
      </w:r>
      <w:r w:rsidRPr="00E43EDA">
        <w:rPr>
          <w:lang w:val="en-US"/>
        </w:rPr>
        <w:t xml:space="preserve"> </w:t>
      </w:r>
      <w:proofErr w:type="gramStart"/>
      <w:r w:rsidRPr="00E43EDA">
        <w:rPr>
          <w:lang w:val="en-US"/>
        </w:rPr>
        <w:t>Constitutional Court (Spain), nr.</w:t>
      </w:r>
      <w:proofErr w:type="gramEnd"/>
      <w:r w:rsidRPr="00E43EDA">
        <w:rPr>
          <w:lang w:val="en-US"/>
        </w:rPr>
        <w:t xml:space="preserve"> 85/2011</w:t>
      </w:r>
      <w:proofErr w:type="gramStart"/>
      <w:r w:rsidRPr="00E43EDA">
        <w:rPr>
          <w:lang w:val="en-US"/>
        </w:rPr>
        <w:t>,  7</w:t>
      </w:r>
      <w:proofErr w:type="gramEnd"/>
      <w:r w:rsidRPr="00E43EDA">
        <w:rPr>
          <w:lang w:val="en-US"/>
        </w:rPr>
        <w:t xml:space="preserve"> June 2011 to be consulted at </w:t>
      </w:r>
      <w:hyperlink r:id="rId7" w:history="1">
        <w:r w:rsidRPr="00E43EDA">
          <w:rPr>
            <w:rStyle w:val="Hyperlink"/>
            <w:lang w:val="en-US"/>
          </w:rPr>
          <w:t>www.tribunalconstitucional.es</w:t>
        </w:r>
      </w:hyperlink>
    </w:p>
  </w:footnote>
  <w:footnote w:id="25">
    <w:p w:rsidR="009879A8" w:rsidRPr="00E43EDA" w:rsidRDefault="009879A8">
      <w:pPr>
        <w:pStyle w:val="FootnoteText"/>
        <w:rPr>
          <w:lang w:val="en-US"/>
        </w:rPr>
      </w:pPr>
      <w:r w:rsidRPr="00E43EDA">
        <w:rPr>
          <w:rStyle w:val="FootnoteReference"/>
        </w:rPr>
        <w:footnoteRef/>
      </w:r>
      <w:r w:rsidRPr="00E43EDA">
        <w:rPr>
          <w:lang w:val="en-US"/>
        </w:rPr>
        <w:t xml:space="preserve"> Report of the Spanish government (dispociones generales), SOE, 7 July 2011, 71548.</w:t>
      </w:r>
    </w:p>
  </w:footnote>
  <w:footnote w:id="26">
    <w:p w:rsidR="009879A8" w:rsidRPr="00E43EDA" w:rsidRDefault="009879A8">
      <w:pPr>
        <w:pStyle w:val="FootnoteText"/>
        <w:rPr>
          <w:lang w:val="en-US"/>
        </w:rPr>
      </w:pPr>
      <w:r w:rsidRPr="00E43EDA">
        <w:rPr>
          <w:rStyle w:val="FootnoteReference"/>
        </w:rPr>
        <w:footnoteRef/>
      </w:r>
      <w:r w:rsidRPr="00E43EDA">
        <w:rPr>
          <w:lang w:val="en-US"/>
        </w:rPr>
        <w:t xml:space="preserve"> Report of the Spanish government (dispociones generales), SOE, 7 July 2011, 71550.</w:t>
      </w:r>
    </w:p>
  </w:footnote>
  <w:footnote w:id="27">
    <w:p w:rsidR="009879A8" w:rsidRPr="00E43EDA" w:rsidRDefault="009879A8">
      <w:pPr>
        <w:pStyle w:val="FootnoteText"/>
        <w:rPr>
          <w:lang w:val="en-US"/>
        </w:rPr>
      </w:pPr>
      <w:r w:rsidRPr="00E43EDA">
        <w:rPr>
          <w:rStyle w:val="FootnoteReference"/>
        </w:rPr>
        <w:footnoteRef/>
      </w:r>
      <w:r w:rsidRPr="00E43EDA">
        <w:rPr>
          <w:lang w:val="en-US"/>
        </w:rPr>
        <w:t xml:space="preserve"> Spain, stability programme 2011-2014, 16 to be consulted at </w:t>
      </w:r>
      <w:hyperlink r:id="rId8" w:history="1">
        <w:r w:rsidRPr="00E43EDA">
          <w:rPr>
            <w:rStyle w:val="Hyperlink"/>
            <w:lang w:val="en-US"/>
          </w:rPr>
          <w:t>http://ec.europa.eu/europe2020/pdf/nrp/sp_spain_en.pdf</w:t>
        </w:r>
      </w:hyperlink>
      <w:r w:rsidRPr="00E43EDA">
        <w:rPr>
          <w:lang w:val="en-US"/>
        </w:rPr>
        <w:t xml:space="preserve"> </w:t>
      </w:r>
    </w:p>
  </w:footnote>
  <w:footnote w:id="28">
    <w:p w:rsidR="009879A8" w:rsidRPr="00E43EDA" w:rsidRDefault="009879A8" w:rsidP="000548EF">
      <w:pPr>
        <w:pStyle w:val="FootnoteText"/>
        <w:rPr>
          <w:lang w:val="en-US"/>
        </w:rPr>
      </w:pPr>
      <w:r w:rsidRPr="00E43EDA">
        <w:rPr>
          <w:rStyle w:val="FootnoteReference"/>
        </w:rPr>
        <w:footnoteRef/>
      </w:r>
      <w:r w:rsidRPr="00E43EDA">
        <w:rPr>
          <w:lang w:val="en-US"/>
        </w:rPr>
        <w:t xml:space="preserve"> Read the Report of Court of Audit (Rekenhof) on the expenses for pensions of officials in 2008 to Belgian Parliament. This report can be consulted at www.ccrek.be </w:t>
      </w:r>
    </w:p>
  </w:footnote>
  <w:footnote w:id="29">
    <w:p w:rsidR="009879A8" w:rsidRPr="00E43EDA" w:rsidRDefault="009879A8">
      <w:pPr>
        <w:pStyle w:val="FootnoteText"/>
        <w:rPr>
          <w:lang w:val="en-US"/>
        </w:rPr>
      </w:pPr>
      <w:r w:rsidRPr="00E43EDA">
        <w:rPr>
          <w:rStyle w:val="FootnoteReference"/>
        </w:rPr>
        <w:footnoteRef/>
      </w:r>
      <w:r w:rsidRPr="00E43EDA">
        <w:rPr>
          <w:lang w:val="en-US"/>
        </w:rPr>
        <w:t xml:space="preserve"> </w:t>
      </w:r>
      <w:proofErr w:type="gramStart"/>
      <w:r w:rsidRPr="00E43EDA">
        <w:rPr>
          <w:i/>
          <w:lang w:val="en-US"/>
        </w:rPr>
        <w:t>Parl. Doc</w:t>
      </w:r>
      <w:r w:rsidRPr="00E43EDA">
        <w:rPr>
          <w:lang w:val="en-US"/>
        </w:rPr>
        <w:t>., Senate, nr.</w:t>
      </w:r>
      <w:proofErr w:type="gramEnd"/>
      <w:r w:rsidRPr="00E43EDA">
        <w:rPr>
          <w:lang w:val="en-US"/>
        </w:rPr>
        <w:t xml:space="preserve"> </w:t>
      </w:r>
      <w:proofErr w:type="gramStart"/>
      <w:r w:rsidRPr="00E43EDA">
        <w:rPr>
          <w:lang w:val="en-US"/>
        </w:rPr>
        <w:t>5-1408/3, session, 2011-2012.</w:t>
      </w:r>
      <w:proofErr w:type="gramEnd"/>
      <w:r w:rsidRPr="00E43EDA">
        <w:rPr>
          <w:lang w:val="en-US"/>
        </w:rPr>
        <w:t xml:space="preserve"> </w:t>
      </w:r>
    </w:p>
  </w:footnote>
  <w:footnote w:id="30">
    <w:p w:rsidR="009879A8" w:rsidRPr="00E43EDA" w:rsidRDefault="009879A8">
      <w:pPr>
        <w:pStyle w:val="FootnoteText"/>
        <w:rPr>
          <w:lang w:val="en-US"/>
        </w:rPr>
      </w:pPr>
      <w:r w:rsidRPr="00E43EDA">
        <w:rPr>
          <w:rStyle w:val="FootnoteReference"/>
        </w:rPr>
        <w:footnoteRef/>
      </w:r>
      <w:r w:rsidRPr="00E43EDA">
        <w:rPr>
          <w:lang w:val="en-US"/>
        </w:rPr>
        <w:t xml:space="preserve"> Belgium, Stability Program 2012-2015, 23 to be consulted at </w:t>
      </w:r>
      <w:hyperlink r:id="rId9" w:history="1">
        <w:r w:rsidRPr="00E43EDA">
          <w:rPr>
            <w:rStyle w:val="Hyperlink"/>
            <w:lang w:val="en-US"/>
          </w:rPr>
          <w:t>http://ec.europa.eu/europe2020/pdf/nd/sp2012_belgium_en.pdf</w:t>
        </w:r>
      </w:hyperlink>
      <w:r w:rsidRPr="00E43EDA">
        <w:rPr>
          <w:lang w:val="en-US"/>
        </w:rPr>
        <w:t xml:space="preserve"> </w:t>
      </w:r>
    </w:p>
  </w:footnote>
  <w:footnote w:id="31">
    <w:p w:rsidR="009879A8" w:rsidRPr="00E43EDA" w:rsidRDefault="009879A8">
      <w:pPr>
        <w:pStyle w:val="FootnoteText"/>
        <w:rPr>
          <w:lang w:val="en-US"/>
        </w:rPr>
      </w:pPr>
      <w:r w:rsidRPr="00E43EDA">
        <w:rPr>
          <w:rStyle w:val="FootnoteReference"/>
        </w:rPr>
        <w:footnoteRef/>
      </w:r>
      <w:r w:rsidRPr="00E43EDA">
        <w:rPr>
          <w:lang w:val="en-US"/>
        </w:rPr>
        <w:t xml:space="preserve"> </w:t>
      </w:r>
      <w:proofErr w:type="gramStart"/>
      <w:r w:rsidRPr="00E43EDA">
        <w:rPr>
          <w:lang w:val="en-US"/>
        </w:rPr>
        <w:t>Constitutional Court (Belgium), nr.</w:t>
      </w:r>
      <w:proofErr w:type="gramEnd"/>
      <w:r w:rsidRPr="00E43EDA">
        <w:rPr>
          <w:lang w:val="en-US"/>
        </w:rPr>
        <w:t xml:space="preserve"> 2/2013, 17 January 2013 to be consulted on </w:t>
      </w:r>
      <w:hyperlink r:id="rId10" w:history="1">
        <w:r w:rsidRPr="00E43EDA">
          <w:rPr>
            <w:rStyle w:val="Hyperlink"/>
            <w:lang w:val="en-US"/>
          </w:rPr>
          <w:t>www.const-court.be</w:t>
        </w:r>
      </w:hyperlink>
      <w:r w:rsidRPr="00E43EDA">
        <w:rPr>
          <w:lang w:val="en-US"/>
        </w:rPr>
        <w:t xml:space="preserve"> </w:t>
      </w:r>
    </w:p>
  </w:footnote>
  <w:footnote w:id="32">
    <w:p w:rsidR="009879A8" w:rsidRPr="00E43EDA" w:rsidRDefault="009879A8">
      <w:pPr>
        <w:pStyle w:val="FootnoteText"/>
        <w:rPr>
          <w:lang w:val="en-US"/>
        </w:rPr>
      </w:pPr>
      <w:r w:rsidRPr="00E43EDA">
        <w:rPr>
          <w:rStyle w:val="FootnoteReference"/>
        </w:rPr>
        <w:footnoteRef/>
      </w:r>
      <w:r w:rsidRPr="00E43EDA">
        <w:rPr>
          <w:lang w:val="en-US"/>
        </w:rPr>
        <w:t xml:space="preserve"> </w:t>
      </w:r>
      <w:proofErr w:type="gramStart"/>
      <w:r w:rsidRPr="00E43EDA">
        <w:rPr>
          <w:lang w:val="en-US"/>
        </w:rPr>
        <w:t>Constitutional Court (Belgium), nr.</w:t>
      </w:r>
      <w:proofErr w:type="gramEnd"/>
      <w:r w:rsidRPr="00E43EDA">
        <w:rPr>
          <w:lang w:val="en-US"/>
        </w:rPr>
        <w:t xml:space="preserve"> 81/2013, 6 June 2013 to be consulted on </w:t>
      </w:r>
      <w:hyperlink r:id="rId11" w:history="1">
        <w:r w:rsidRPr="00E43EDA">
          <w:rPr>
            <w:rStyle w:val="Hyperlink"/>
            <w:lang w:val="en-US"/>
          </w:rPr>
          <w:t>www.const-court.be</w:t>
        </w:r>
      </w:hyperlink>
    </w:p>
  </w:footnote>
  <w:footnote w:id="33">
    <w:p w:rsidR="009879A8" w:rsidRPr="00E43EDA" w:rsidRDefault="009879A8">
      <w:pPr>
        <w:pStyle w:val="FootnoteText"/>
        <w:rPr>
          <w:lang w:val="en-US"/>
        </w:rPr>
      </w:pPr>
      <w:r w:rsidRPr="00E43EDA">
        <w:rPr>
          <w:rStyle w:val="FootnoteReference"/>
        </w:rPr>
        <w:footnoteRef/>
      </w:r>
      <w:r w:rsidRPr="00E43EDA">
        <w:rPr>
          <w:lang w:val="en-US"/>
        </w:rPr>
        <w:t xml:space="preserve"> ECHR, Demir and Baykara v. Turkey, 12 November 2008. </w:t>
      </w:r>
    </w:p>
  </w:footnote>
  <w:footnote w:id="34">
    <w:p w:rsidR="009879A8" w:rsidRPr="00E43EDA" w:rsidRDefault="009879A8">
      <w:pPr>
        <w:pStyle w:val="FootnoteText"/>
        <w:rPr>
          <w:lang w:val="en-US"/>
        </w:rPr>
      </w:pPr>
      <w:r w:rsidRPr="00E43EDA">
        <w:rPr>
          <w:rStyle w:val="FootnoteReference"/>
        </w:rPr>
        <w:footnoteRef/>
      </w:r>
      <w:r w:rsidRPr="00E43EDA">
        <w:rPr>
          <w:lang w:val="en-US"/>
        </w:rPr>
        <w:t xml:space="preserve"> </w:t>
      </w:r>
      <w:proofErr w:type="gramStart"/>
      <w:r w:rsidRPr="00E43EDA">
        <w:rPr>
          <w:i/>
          <w:lang w:val="en-US"/>
        </w:rPr>
        <w:t>Parl. Doc</w:t>
      </w:r>
      <w:r w:rsidRPr="00E43EDA">
        <w:rPr>
          <w:lang w:val="en-US"/>
        </w:rPr>
        <w:t>., Senate, nr.</w:t>
      </w:r>
      <w:proofErr w:type="gramEnd"/>
      <w:r w:rsidRPr="00E43EDA">
        <w:rPr>
          <w:lang w:val="en-US"/>
        </w:rPr>
        <w:t xml:space="preserve"> </w:t>
      </w:r>
      <w:proofErr w:type="gramStart"/>
      <w:r w:rsidRPr="00E43EDA">
        <w:rPr>
          <w:lang w:val="en-US"/>
        </w:rPr>
        <w:t>5-1408/3, session, 2011-2012.</w:t>
      </w:r>
      <w:proofErr w:type="gramEnd"/>
      <w:r w:rsidRPr="00E43EDA">
        <w:rPr>
          <w:lang w:val="en-US"/>
        </w:rPr>
        <w:t xml:space="preserve"> </w:t>
      </w:r>
    </w:p>
  </w:footnote>
  <w:footnote w:id="35">
    <w:p w:rsidR="009879A8" w:rsidRPr="00E43EDA" w:rsidRDefault="009879A8" w:rsidP="009A7FA0">
      <w:pPr>
        <w:autoSpaceDE w:val="0"/>
        <w:autoSpaceDN w:val="0"/>
        <w:adjustRightInd w:val="0"/>
        <w:spacing w:after="0" w:line="240" w:lineRule="auto"/>
        <w:rPr>
          <w:rFonts w:ascii="Times New Roman" w:hAnsi="Times New Roman" w:cs="Times New Roman"/>
          <w:b/>
          <w:bCs/>
          <w:sz w:val="24"/>
          <w:szCs w:val="24"/>
          <w:lang w:val="en-US"/>
        </w:rPr>
      </w:pPr>
      <w:r w:rsidRPr="00E43EDA">
        <w:rPr>
          <w:rStyle w:val="FootnoteReference"/>
        </w:rPr>
        <w:footnoteRef/>
      </w:r>
      <w:r w:rsidRPr="00E43EDA">
        <w:rPr>
          <w:lang w:val="en-US"/>
        </w:rPr>
        <w:t xml:space="preserve"> </w:t>
      </w:r>
      <w:r w:rsidRPr="00E43EDA">
        <w:rPr>
          <w:sz w:val="20"/>
          <w:szCs w:val="20"/>
          <w:lang w:val="en-US"/>
        </w:rPr>
        <w:t xml:space="preserve">EU Commission Staff Working Document </w:t>
      </w:r>
      <w:r w:rsidRPr="00E43EDA">
        <w:rPr>
          <w:rFonts w:cs="Times New Roman"/>
          <w:bCs/>
          <w:sz w:val="20"/>
          <w:szCs w:val="20"/>
          <w:lang w:val="en-US"/>
        </w:rPr>
        <w:t>Analysis by the Commission services of the budgetary situation in Belgium following the adoption of the Council Recommendation to Belgium of 2 December 2009 with a view to bringing an end to the situation of an excessive government deficit</w:t>
      </w:r>
      <w:r w:rsidRPr="00E43EDA">
        <w:rPr>
          <w:sz w:val="20"/>
          <w:szCs w:val="20"/>
          <w:lang w:val="en-US"/>
        </w:rPr>
        <w:t>, 29 May 2013</w:t>
      </w:r>
    </w:p>
  </w:footnote>
  <w:footnote w:id="36">
    <w:p w:rsidR="009879A8" w:rsidRPr="00E43EDA" w:rsidRDefault="009879A8" w:rsidP="008E458F">
      <w:pPr>
        <w:pStyle w:val="FootnoteText"/>
        <w:rPr>
          <w:lang w:val="en-US"/>
        </w:rPr>
      </w:pPr>
      <w:r w:rsidRPr="00E43EDA">
        <w:rPr>
          <w:rStyle w:val="FootnoteReference"/>
        </w:rPr>
        <w:footnoteRef/>
      </w:r>
      <w:r w:rsidRPr="00E43EDA">
        <w:rPr>
          <w:lang w:val="en-US"/>
        </w:rPr>
        <w:t xml:space="preserve"> Governmental agreement Freedom and Responsibility between VVD and CDA, 30 September 2010, 5 to be consulted on </w:t>
      </w:r>
      <w:hyperlink r:id="rId12" w:history="1">
        <w:r w:rsidRPr="00E43EDA">
          <w:rPr>
            <w:rStyle w:val="Hyperlink"/>
            <w:lang w:val="en-US"/>
          </w:rPr>
          <w:t>www.rijksoverheid.nl</w:t>
        </w:r>
      </w:hyperlink>
      <w:r w:rsidRPr="00E43EDA">
        <w:rPr>
          <w:lang w:val="en-US"/>
        </w:rPr>
        <w:t xml:space="preserve">  </w:t>
      </w:r>
    </w:p>
  </w:footnote>
  <w:footnote w:id="37">
    <w:p w:rsidR="009879A8" w:rsidRPr="00E43EDA" w:rsidRDefault="009879A8" w:rsidP="008E458F">
      <w:pPr>
        <w:pStyle w:val="FootnoteText"/>
        <w:rPr>
          <w:lang w:val="en-US"/>
        </w:rPr>
      </w:pPr>
      <w:r w:rsidRPr="00E43EDA">
        <w:rPr>
          <w:rStyle w:val="FootnoteReference"/>
        </w:rPr>
        <w:footnoteRef/>
      </w:r>
      <w:r w:rsidRPr="00E43EDA">
        <w:rPr>
          <w:lang w:val="en-US"/>
        </w:rPr>
        <w:t xml:space="preserve"> Declaration of Piet Hein Donner on 31 May 2011 to be consulted </w:t>
      </w:r>
      <w:hyperlink r:id="rId13" w:history="1">
        <w:r w:rsidRPr="00E43EDA">
          <w:rPr>
            <w:rStyle w:val="Hyperlink"/>
            <w:lang w:val="en-US"/>
          </w:rPr>
          <w:t>www.nu.nl</w:t>
        </w:r>
      </w:hyperlink>
      <w:r w:rsidRPr="00E43EDA">
        <w:rPr>
          <w:lang w:val="en-US"/>
        </w:rPr>
        <w:t xml:space="preserve"> </w:t>
      </w:r>
    </w:p>
  </w:footnote>
  <w:footnote w:id="38">
    <w:p w:rsidR="009879A8" w:rsidRPr="00E43EDA" w:rsidRDefault="009879A8" w:rsidP="008E458F">
      <w:pPr>
        <w:pStyle w:val="FootnoteText"/>
        <w:rPr>
          <w:lang w:val="en-US"/>
        </w:rPr>
      </w:pPr>
      <w:r w:rsidRPr="00E43EDA">
        <w:rPr>
          <w:rStyle w:val="FootnoteReference"/>
        </w:rPr>
        <w:footnoteRef/>
      </w:r>
      <w:r w:rsidRPr="00E43EDA">
        <w:rPr>
          <w:lang w:val="en-US"/>
        </w:rPr>
        <w:t xml:space="preserve"> The Sector Commission is the competent body for negotiations on the modification of the material status of State officials. </w:t>
      </w:r>
    </w:p>
  </w:footnote>
  <w:footnote w:id="39">
    <w:p w:rsidR="009879A8" w:rsidRPr="00E43EDA" w:rsidRDefault="009879A8">
      <w:pPr>
        <w:pStyle w:val="FootnoteText"/>
      </w:pPr>
      <w:r w:rsidRPr="00E43EDA">
        <w:rPr>
          <w:rStyle w:val="FootnoteReference"/>
        </w:rPr>
        <w:footnoteRef/>
      </w:r>
      <w:r w:rsidRPr="00E43EDA">
        <w:t xml:space="preserve"> </w:t>
      </w:r>
      <w:r w:rsidRPr="00E43EDA">
        <w:t xml:space="preserve">Read on this topic B.B.B. LANTING, </w:t>
      </w:r>
      <w:r w:rsidRPr="00E43EDA">
        <w:rPr>
          <w:rFonts w:cs="Arial"/>
          <w:i/>
          <w:iCs/>
          <w:color w:val="000000"/>
        </w:rPr>
        <w:t>Sociale zekerheid van ambtenaren en overheidswerknemers: Een onderzoek naar het proces van normalisering van het sociale zekerheidsrecht in de sectoren Rijk, Gemeenten en Onderwijs</w:t>
      </w:r>
      <w:r w:rsidRPr="00E43EDA">
        <w:rPr>
          <w:rFonts w:cs="Arial"/>
          <w:iCs/>
          <w:color w:val="000000"/>
        </w:rPr>
        <w:t>, Antwerpen, Maklu, 2009, 556p.</w:t>
      </w:r>
    </w:p>
  </w:footnote>
  <w:footnote w:id="40">
    <w:p w:rsidR="009879A8" w:rsidRPr="00E43EDA" w:rsidRDefault="009879A8">
      <w:pPr>
        <w:pStyle w:val="FootnoteText"/>
        <w:rPr>
          <w:lang w:val="en-US"/>
        </w:rPr>
      </w:pPr>
      <w:r w:rsidRPr="00E43EDA">
        <w:rPr>
          <w:rStyle w:val="FootnoteReference"/>
        </w:rPr>
        <w:footnoteRef/>
      </w:r>
      <w:r w:rsidRPr="00E43EDA">
        <w:rPr>
          <w:lang w:val="en-US"/>
        </w:rPr>
        <w:t xml:space="preserve"> Advise of the </w:t>
      </w:r>
      <w:r w:rsidRPr="00E43EDA">
        <w:rPr>
          <w:i/>
          <w:lang w:val="en-US"/>
        </w:rPr>
        <w:t>Advies- en Arbitragecommissie</w:t>
      </w:r>
      <w:r w:rsidRPr="00E43EDA">
        <w:rPr>
          <w:lang w:val="en-US"/>
        </w:rPr>
        <w:t xml:space="preserve"> on 7 February 2013 to be consulted on </w:t>
      </w:r>
      <w:hyperlink r:id="rId14" w:history="1">
        <w:r w:rsidRPr="00E43EDA">
          <w:rPr>
            <w:rStyle w:val="Hyperlink"/>
            <w:lang w:val="en-US"/>
          </w:rPr>
          <w:t>www.adviesenarbitragecommisie.nl</w:t>
        </w:r>
      </w:hyperlink>
      <w:r w:rsidRPr="00E43EDA">
        <w:rPr>
          <w:lang w:val="en-US"/>
        </w:rPr>
        <w:t xml:space="preserve"> </w:t>
      </w:r>
    </w:p>
  </w:footnote>
  <w:footnote w:id="41">
    <w:p w:rsidR="009879A8" w:rsidRPr="00E43EDA" w:rsidRDefault="009879A8">
      <w:pPr>
        <w:pStyle w:val="FootnoteText"/>
        <w:rPr>
          <w:lang w:val="en-US"/>
        </w:rPr>
      </w:pPr>
      <w:r w:rsidRPr="00E43EDA">
        <w:rPr>
          <w:rStyle w:val="FootnoteReference"/>
        </w:rPr>
        <w:footnoteRef/>
      </w:r>
      <w:r w:rsidRPr="00E43EDA">
        <w:rPr>
          <w:lang w:val="en-US"/>
        </w:rPr>
        <w:t xml:space="preserve"> </w:t>
      </w:r>
      <w:proofErr w:type="gramStart"/>
      <w:r w:rsidRPr="00E43EDA">
        <w:rPr>
          <w:lang w:val="en-US"/>
        </w:rPr>
        <w:t>Announcement of the Dutch government on 17 September 2013 by Minister Dijsselbloem.</w:t>
      </w:r>
      <w:proofErr w:type="gramEnd"/>
    </w:p>
  </w:footnote>
  <w:footnote w:id="42">
    <w:p w:rsidR="009879A8" w:rsidRPr="00E43EDA" w:rsidRDefault="009879A8">
      <w:pPr>
        <w:pStyle w:val="FootnoteText"/>
        <w:rPr>
          <w:lang w:val="en-US"/>
        </w:rPr>
      </w:pPr>
      <w:r w:rsidRPr="00E43EDA">
        <w:rPr>
          <w:rStyle w:val="FootnoteReference"/>
        </w:rPr>
        <w:footnoteRef/>
      </w:r>
      <w:r w:rsidRPr="00E43EDA">
        <w:rPr>
          <w:lang w:val="en-US"/>
        </w:rPr>
        <w:t xml:space="preserve"> Governmental agreement Freedom and Responsibility between VVD and CDA, 30 September 2010, 5 to be consulted on </w:t>
      </w:r>
      <w:hyperlink r:id="rId15" w:history="1">
        <w:r w:rsidRPr="00E43EDA">
          <w:rPr>
            <w:rStyle w:val="Hyperlink"/>
            <w:lang w:val="en-US"/>
          </w:rPr>
          <w:t>www.rijksoverheid.nl</w:t>
        </w:r>
      </w:hyperlink>
      <w:r w:rsidRPr="00E43EDA">
        <w:rPr>
          <w:lang w:val="en-US"/>
        </w:rPr>
        <w:t xml:space="preserve"> and later governmental agreement Building Bridges between VVD and PvdA, 29 October 2012, 24.</w:t>
      </w:r>
    </w:p>
  </w:footnote>
  <w:footnote w:id="43">
    <w:p w:rsidR="009879A8" w:rsidRPr="00E43EDA" w:rsidRDefault="009879A8" w:rsidP="0028238A">
      <w:pPr>
        <w:autoSpaceDE w:val="0"/>
        <w:autoSpaceDN w:val="0"/>
        <w:adjustRightInd w:val="0"/>
        <w:spacing w:after="0" w:line="240" w:lineRule="auto"/>
        <w:jc w:val="both"/>
        <w:rPr>
          <w:rFonts w:cs="Times New Roman"/>
          <w:bCs/>
          <w:sz w:val="20"/>
          <w:szCs w:val="20"/>
          <w:lang w:val="en-US"/>
        </w:rPr>
      </w:pPr>
      <w:r w:rsidRPr="00E43EDA">
        <w:rPr>
          <w:rStyle w:val="FootnoteReference"/>
          <w:sz w:val="20"/>
          <w:szCs w:val="20"/>
        </w:rPr>
        <w:footnoteRef/>
      </w:r>
      <w:r w:rsidRPr="00E43EDA">
        <w:rPr>
          <w:sz w:val="20"/>
          <w:szCs w:val="20"/>
          <w:lang w:val="en-US"/>
        </w:rPr>
        <w:t xml:space="preserve"> EU Commission Staff Working Document </w:t>
      </w:r>
      <w:r w:rsidRPr="00E43EDA">
        <w:rPr>
          <w:rFonts w:cs="Times New Roman"/>
          <w:bCs/>
          <w:sz w:val="20"/>
          <w:szCs w:val="20"/>
          <w:lang w:val="en-US"/>
        </w:rPr>
        <w:t xml:space="preserve">Analysis by the Commission services on the national reform </w:t>
      </w:r>
      <w:proofErr w:type="gramStart"/>
      <w:r w:rsidRPr="00E43EDA">
        <w:rPr>
          <w:rFonts w:cs="Times New Roman"/>
          <w:bCs/>
          <w:sz w:val="20"/>
          <w:szCs w:val="20"/>
          <w:lang w:val="en-US"/>
        </w:rPr>
        <w:t>programme  and</w:t>
      </w:r>
      <w:proofErr w:type="gramEnd"/>
      <w:r w:rsidRPr="00E43EDA">
        <w:rPr>
          <w:rFonts w:cs="Times New Roman"/>
          <w:bCs/>
          <w:sz w:val="20"/>
          <w:szCs w:val="20"/>
          <w:lang w:val="en-US"/>
        </w:rPr>
        <w:t xml:space="preserve"> programme and stability programme for the Netherlands</w:t>
      </w:r>
      <w:r w:rsidRPr="00E43EDA">
        <w:rPr>
          <w:sz w:val="20"/>
          <w:szCs w:val="20"/>
          <w:lang w:val="en-US"/>
        </w:rPr>
        <w:t>, 29 May 2013</w:t>
      </w:r>
    </w:p>
  </w:footnote>
  <w:footnote w:id="44">
    <w:p w:rsidR="009879A8" w:rsidRPr="00E43EDA" w:rsidRDefault="009879A8">
      <w:pPr>
        <w:pStyle w:val="FootnoteText"/>
        <w:rPr>
          <w:lang w:val="en-US"/>
        </w:rPr>
      </w:pPr>
      <w:r w:rsidRPr="00E43EDA">
        <w:rPr>
          <w:rStyle w:val="FootnoteReference"/>
        </w:rPr>
        <w:footnoteRef/>
      </w:r>
      <w:r w:rsidRPr="00E43EDA">
        <w:rPr>
          <w:lang w:val="en-US"/>
        </w:rPr>
        <w:t xml:space="preserve"> T. TRIMIDAS, </w:t>
      </w:r>
      <w:r w:rsidRPr="00E43EDA">
        <w:rPr>
          <w:i/>
          <w:lang w:val="en-US"/>
        </w:rPr>
        <w:t>The General Principles of EU Law</w:t>
      </w:r>
      <w:r w:rsidRPr="00E43EDA">
        <w:rPr>
          <w:lang w:val="en-US"/>
        </w:rPr>
        <w:t>, Oxford, OUP, 2006, 251.</w:t>
      </w:r>
    </w:p>
  </w:footnote>
  <w:footnote w:id="45">
    <w:p w:rsidR="009879A8" w:rsidRPr="00E43EDA" w:rsidRDefault="009879A8">
      <w:pPr>
        <w:pStyle w:val="FootnoteText"/>
        <w:rPr>
          <w:lang w:val="en-US"/>
        </w:rPr>
      </w:pPr>
      <w:r w:rsidRPr="00E43EDA">
        <w:rPr>
          <w:rStyle w:val="FootnoteReference"/>
        </w:rPr>
        <w:footnoteRef/>
      </w:r>
      <w:r w:rsidRPr="00E43EDA">
        <w:rPr>
          <w:lang w:val="en-US"/>
        </w:rPr>
        <w:t xml:space="preserve"> </w:t>
      </w:r>
      <w:proofErr w:type="gramStart"/>
      <w:r w:rsidRPr="00E43EDA">
        <w:rPr>
          <w:lang w:val="en-US"/>
        </w:rPr>
        <w:t>Civil Service Tribunal, F-21/06, da Silva v. European Commission, 28 June 2007.</w:t>
      </w:r>
      <w:proofErr w:type="gramEnd"/>
    </w:p>
  </w:footnote>
  <w:footnote w:id="46">
    <w:p w:rsidR="009879A8" w:rsidRPr="00E43EDA" w:rsidRDefault="009879A8">
      <w:pPr>
        <w:pStyle w:val="FootnoteText"/>
        <w:rPr>
          <w:lang w:val="en-US"/>
        </w:rPr>
      </w:pPr>
      <w:r w:rsidRPr="00E43EDA">
        <w:rPr>
          <w:rStyle w:val="FootnoteReference"/>
        </w:rPr>
        <w:footnoteRef/>
      </w:r>
      <w:r w:rsidRPr="00E43EDA">
        <w:rPr>
          <w:lang w:val="en-US"/>
        </w:rPr>
        <w:t xml:space="preserve"> Read among others A. DAVIES, “One step forward, two steps back? The Viking and Laval Cases in the ECJ”, </w:t>
      </w:r>
      <w:r w:rsidRPr="00E43EDA">
        <w:rPr>
          <w:i/>
          <w:lang w:val="en-US"/>
        </w:rPr>
        <w:t xml:space="preserve">Industrial Law Journal, </w:t>
      </w:r>
      <w:r w:rsidRPr="00E43EDA">
        <w:rPr>
          <w:lang w:val="en-US"/>
        </w:rPr>
        <w:t xml:space="preserve">2008, 126-148; A. HINAREJOS, “Viking and Laval: the right to collective action versus EU fundamental freedoms”, </w:t>
      </w:r>
      <w:r w:rsidRPr="00E43EDA">
        <w:rPr>
          <w:i/>
          <w:lang w:val="en-US"/>
        </w:rPr>
        <w:t xml:space="preserve">Human Rights Law Review, </w:t>
      </w:r>
      <w:r w:rsidRPr="00E43EDA">
        <w:rPr>
          <w:lang w:val="en-US"/>
        </w:rPr>
        <w:t xml:space="preserve">2008, 729; N. REICH, “Free movement versus social rights in an enlarged Union”, </w:t>
      </w:r>
      <w:r w:rsidRPr="00E43EDA">
        <w:rPr>
          <w:i/>
          <w:lang w:val="en-US"/>
        </w:rPr>
        <w:t>German Law Journal</w:t>
      </w:r>
      <w:r w:rsidRPr="00E43EDA">
        <w:rPr>
          <w:lang w:val="en-US"/>
        </w:rPr>
        <w:t>, 2008, 125</w:t>
      </w:r>
    </w:p>
  </w:footnote>
  <w:footnote w:id="47">
    <w:p w:rsidR="009879A8" w:rsidRPr="00CA4D06" w:rsidRDefault="009879A8">
      <w:pPr>
        <w:pStyle w:val="FootnoteText"/>
        <w:rPr>
          <w:lang w:val="en-US"/>
        </w:rPr>
      </w:pPr>
      <w:r w:rsidRPr="00E43EDA">
        <w:rPr>
          <w:rStyle w:val="FootnoteReference"/>
        </w:rPr>
        <w:footnoteRef/>
      </w:r>
      <w:r w:rsidRPr="00E43EDA">
        <w:rPr>
          <w:lang w:val="en-US"/>
        </w:rPr>
        <w:t xml:space="preserve"> F. DORSSEMONT, “A judicial pathway to overcome Laval and Viking”, Ose Paper, 2011, 20p.</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3B0"/>
    <w:multiLevelType w:val="hybridMultilevel"/>
    <w:tmpl w:val="0C06996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0CF03F3"/>
    <w:multiLevelType w:val="hybridMultilevel"/>
    <w:tmpl w:val="D528135C"/>
    <w:lvl w:ilvl="0" w:tplc="AC9C725C">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1A001AE6"/>
    <w:multiLevelType w:val="hybridMultilevel"/>
    <w:tmpl w:val="DA709A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2FBA2818"/>
    <w:multiLevelType w:val="hybridMultilevel"/>
    <w:tmpl w:val="5600BCF4"/>
    <w:lvl w:ilvl="0" w:tplc="F58C9CBC">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32285F81"/>
    <w:multiLevelType w:val="multilevel"/>
    <w:tmpl w:val="5DD29DA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BA7D06"/>
    <w:multiLevelType w:val="hybridMultilevel"/>
    <w:tmpl w:val="B7A8500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52967D2B"/>
    <w:multiLevelType w:val="hybridMultilevel"/>
    <w:tmpl w:val="4964E13E"/>
    <w:lvl w:ilvl="0" w:tplc="39F85DD0">
      <w:start w:val="1"/>
      <w:numFmt w:val="decimal"/>
      <w:lvlText w:val="%1."/>
      <w:lvlJc w:val="left"/>
      <w:pPr>
        <w:ind w:left="720" w:hanging="360"/>
      </w:pPr>
      <w:rPr>
        <w:rFonts w:ascii="CenturyGothic" w:hAnsi="CenturyGothic" w:cs="CenturyGothic" w:hint="default"/>
        <w:color w:val="333333"/>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644278EC"/>
    <w:multiLevelType w:val="hybridMultilevel"/>
    <w:tmpl w:val="7D3CD32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nsid w:val="69AD50CB"/>
    <w:multiLevelType w:val="multilevel"/>
    <w:tmpl w:val="8E4A1D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DC26917"/>
    <w:multiLevelType w:val="hybridMultilevel"/>
    <w:tmpl w:val="2BA0F9BC"/>
    <w:lvl w:ilvl="0" w:tplc="9A10C294">
      <w:start w:val="1"/>
      <w:numFmt w:val="upperRoman"/>
      <w:lvlText w:val="%1."/>
      <w:lvlJc w:val="left"/>
      <w:pPr>
        <w:ind w:left="1800" w:hanging="72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0">
    <w:nsid w:val="71AE7FCB"/>
    <w:multiLevelType w:val="hybridMultilevel"/>
    <w:tmpl w:val="7D3CD32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5"/>
  </w:num>
  <w:num w:numId="6">
    <w:abstractNumId w:val="3"/>
  </w:num>
  <w:num w:numId="7">
    <w:abstractNumId w:val="8"/>
  </w:num>
  <w:num w:numId="8">
    <w:abstractNumId w:val="0"/>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C3"/>
    <w:rsid w:val="000033A3"/>
    <w:rsid w:val="00022055"/>
    <w:rsid w:val="00025EEF"/>
    <w:rsid w:val="00054095"/>
    <w:rsid w:val="000548EF"/>
    <w:rsid w:val="00054B15"/>
    <w:rsid w:val="0006034B"/>
    <w:rsid w:val="000608CB"/>
    <w:rsid w:val="00060ACE"/>
    <w:rsid w:val="00064504"/>
    <w:rsid w:val="00070086"/>
    <w:rsid w:val="00072120"/>
    <w:rsid w:val="00074A6A"/>
    <w:rsid w:val="00080260"/>
    <w:rsid w:val="00084021"/>
    <w:rsid w:val="00095FE8"/>
    <w:rsid w:val="000A0371"/>
    <w:rsid w:val="000A29B8"/>
    <w:rsid w:val="000A5025"/>
    <w:rsid w:val="000B00B5"/>
    <w:rsid w:val="000C2C6D"/>
    <w:rsid w:val="000C2E74"/>
    <w:rsid w:val="000C54FD"/>
    <w:rsid w:val="000D28D7"/>
    <w:rsid w:val="000E13C6"/>
    <w:rsid w:val="000E211C"/>
    <w:rsid w:val="000F2A72"/>
    <w:rsid w:val="000F6030"/>
    <w:rsid w:val="001027FE"/>
    <w:rsid w:val="00105C8E"/>
    <w:rsid w:val="00106146"/>
    <w:rsid w:val="0011739D"/>
    <w:rsid w:val="001207A4"/>
    <w:rsid w:val="00122341"/>
    <w:rsid w:val="0012352B"/>
    <w:rsid w:val="001322C5"/>
    <w:rsid w:val="00134A37"/>
    <w:rsid w:val="00140090"/>
    <w:rsid w:val="00144CC4"/>
    <w:rsid w:val="001572C9"/>
    <w:rsid w:val="00161969"/>
    <w:rsid w:val="00165703"/>
    <w:rsid w:val="00166AEE"/>
    <w:rsid w:val="00167BC5"/>
    <w:rsid w:val="001731AA"/>
    <w:rsid w:val="00176736"/>
    <w:rsid w:val="001866D5"/>
    <w:rsid w:val="00193008"/>
    <w:rsid w:val="00193CE6"/>
    <w:rsid w:val="00194CE4"/>
    <w:rsid w:val="00196B49"/>
    <w:rsid w:val="001A2046"/>
    <w:rsid w:val="001A3BFE"/>
    <w:rsid w:val="001A3C31"/>
    <w:rsid w:val="001A5ABB"/>
    <w:rsid w:val="001A7F57"/>
    <w:rsid w:val="001B352F"/>
    <w:rsid w:val="001B5933"/>
    <w:rsid w:val="001C05FC"/>
    <w:rsid w:val="001C0F7B"/>
    <w:rsid w:val="001C5A11"/>
    <w:rsid w:val="001C61B3"/>
    <w:rsid w:val="001D699B"/>
    <w:rsid w:val="001E56A6"/>
    <w:rsid w:val="001E71B8"/>
    <w:rsid w:val="001E79E5"/>
    <w:rsid w:val="001F3887"/>
    <w:rsid w:val="001F75AD"/>
    <w:rsid w:val="00200397"/>
    <w:rsid w:val="00201162"/>
    <w:rsid w:val="00202429"/>
    <w:rsid w:val="0021264A"/>
    <w:rsid w:val="00230324"/>
    <w:rsid w:val="00236C7C"/>
    <w:rsid w:val="002378A2"/>
    <w:rsid w:val="00243264"/>
    <w:rsid w:val="00245517"/>
    <w:rsid w:val="002610A7"/>
    <w:rsid w:val="0028238A"/>
    <w:rsid w:val="00286D3F"/>
    <w:rsid w:val="002A02AE"/>
    <w:rsid w:val="002A678D"/>
    <w:rsid w:val="002B45E1"/>
    <w:rsid w:val="002B604B"/>
    <w:rsid w:val="002C1638"/>
    <w:rsid w:val="002C3328"/>
    <w:rsid w:val="002D3AF2"/>
    <w:rsid w:val="002D5960"/>
    <w:rsid w:val="002E130E"/>
    <w:rsid w:val="002F3682"/>
    <w:rsid w:val="002F5C44"/>
    <w:rsid w:val="002F6413"/>
    <w:rsid w:val="00303E81"/>
    <w:rsid w:val="003115E0"/>
    <w:rsid w:val="003206AA"/>
    <w:rsid w:val="003233CD"/>
    <w:rsid w:val="00323EA3"/>
    <w:rsid w:val="0033732C"/>
    <w:rsid w:val="00340B3A"/>
    <w:rsid w:val="00347FEB"/>
    <w:rsid w:val="00353445"/>
    <w:rsid w:val="00363248"/>
    <w:rsid w:val="00370F64"/>
    <w:rsid w:val="00371310"/>
    <w:rsid w:val="003825B6"/>
    <w:rsid w:val="003836C4"/>
    <w:rsid w:val="00385915"/>
    <w:rsid w:val="00390A97"/>
    <w:rsid w:val="00394328"/>
    <w:rsid w:val="00397533"/>
    <w:rsid w:val="003A53F3"/>
    <w:rsid w:val="003B1326"/>
    <w:rsid w:val="003B1E84"/>
    <w:rsid w:val="003B220F"/>
    <w:rsid w:val="003C5B18"/>
    <w:rsid w:val="003E0026"/>
    <w:rsid w:val="003E01CC"/>
    <w:rsid w:val="003F24D1"/>
    <w:rsid w:val="003F7899"/>
    <w:rsid w:val="003F7F32"/>
    <w:rsid w:val="004105EB"/>
    <w:rsid w:val="00420E34"/>
    <w:rsid w:val="00422FCB"/>
    <w:rsid w:val="00436EB4"/>
    <w:rsid w:val="0044175F"/>
    <w:rsid w:val="0044209F"/>
    <w:rsid w:val="004463DB"/>
    <w:rsid w:val="0045505B"/>
    <w:rsid w:val="004629CC"/>
    <w:rsid w:val="00465C37"/>
    <w:rsid w:val="00466730"/>
    <w:rsid w:val="004768CE"/>
    <w:rsid w:val="00481588"/>
    <w:rsid w:val="004941AD"/>
    <w:rsid w:val="004950A0"/>
    <w:rsid w:val="00495C0E"/>
    <w:rsid w:val="00496411"/>
    <w:rsid w:val="004A233B"/>
    <w:rsid w:val="004A4EE3"/>
    <w:rsid w:val="004B29B0"/>
    <w:rsid w:val="004B3373"/>
    <w:rsid w:val="004B47DD"/>
    <w:rsid w:val="004B51AB"/>
    <w:rsid w:val="004D13CB"/>
    <w:rsid w:val="004E20A3"/>
    <w:rsid w:val="004E217D"/>
    <w:rsid w:val="004E3060"/>
    <w:rsid w:val="004E7AFA"/>
    <w:rsid w:val="004F1A66"/>
    <w:rsid w:val="004F3099"/>
    <w:rsid w:val="004F4844"/>
    <w:rsid w:val="00507C0C"/>
    <w:rsid w:val="00511C8B"/>
    <w:rsid w:val="0051648A"/>
    <w:rsid w:val="00526236"/>
    <w:rsid w:val="0053256E"/>
    <w:rsid w:val="00555CB7"/>
    <w:rsid w:val="00561008"/>
    <w:rsid w:val="005647DC"/>
    <w:rsid w:val="00565558"/>
    <w:rsid w:val="00574247"/>
    <w:rsid w:val="005766DE"/>
    <w:rsid w:val="005767E2"/>
    <w:rsid w:val="00577D30"/>
    <w:rsid w:val="005920FF"/>
    <w:rsid w:val="00592D57"/>
    <w:rsid w:val="005A3D8F"/>
    <w:rsid w:val="005B0C37"/>
    <w:rsid w:val="005B6FB6"/>
    <w:rsid w:val="005C4193"/>
    <w:rsid w:val="005C6215"/>
    <w:rsid w:val="005D0A3B"/>
    <w:rsid w:val="005D184C"/>
    <w:rsid w:val="005E74A4"/>
    <w:rsid w:val="005F152D"/>
    <w:rsid w:val="005F43F5"/>
    <w:rsid w:val="005F566C"/>
    <w:rsid w:val="00606195"/>
    <w:rsid w:val="00615530"/>
    <w:rsid w:val="00616812"/>
    <w:rsid w:val="0062084F"/>
    <w:rsid w:val="0062523B"/>
    <w:rsid w:val="00630CC3"/>
    <w:rsid w:val="00644140"/>
    <w:rsid w:val="00646D2C"/>
    <w:rsid w:val="00656425"/>
    <w:rsid w:val="00656709"/>
    <w:rsid w:val="00656EF0"/>
    <w:rsid w:val="00674D5F"/>
    <w:rsid w:val="00677712"/>
    <w:rsid w:val="0068385B"/>
    <w:rsid w:val="006A1E28"/>
    <w:rsid w:val="006C56A2"/>
    <w:rsid w:val="006D1DBC"/>
    <w:rsid w:val="006D4C19"/>
    <w:rsid w:val="006D6B30"/>
    <w:rsid w:val="006E5E1B"/>
    <w:rsid w:val="006E6029"/>
    <w:rsid w:val="006F7666"/>
    <w:rsid w:val="007037EC"/>
    <w:rsid w:val="00720945"/>
    <w:rsid w:val="00741955"/>
    <w:rsid w:val="00742E0A"/>
    <w:rsid w:val="00747759"/>
    <w:rsid w:val="00763975"/>
    <w:rsid w:val="00763D34"/>
    <w:rsid w:val="0077635F"/>
    <w:rsid w:val="00776415"/>
    <w:rsid w:val="00776ACA"/>
    <w:rsid w:val="00781856"/>
    <w:rsid w:val="00787661"/>
    <w:rsid w:val="00795332"/>
    <w:rsid w:val="007A015F"/>
    <w:rsid w:val="007A207C"/>
    <w:rsid w:val="007B33A5"/>
    <w:rsid w:val="007C4238"/>
    <w:rsid w:val="007C5EFA"/>
    <w:rsid w:val="007E02D1"/>
    <w:rsid w:val="007E3DBB"/>
    <w:rsid w:val="007F04F2"/>
    <w:rsid w:val="007F0E3F"/>
    <w:rsid w:val="007F0F24"/>
    <w:rsid w:val="007F137A"/>
    <w:rsid w:val="007F362C"/>
    <w:rsid w:val="008029B0"/>
    <w:rsid w:val="00805121"/>
    <w:rsid w:val="0080619E"/>
    <w:rsid w:val="008102B1"/>
    <w:rsid w:val="008150A5"/>
    <w:rsid w:val="008200AD"/>
    <w:rsid w:val="008216AD"/>
    <w:rsid w:val="00853D17"/>
    <w:rsid w:val="00855C48"/>
    <w:rsid w:val="00857089"/>
    <w:rsid w:val="008636B4"/>
    <w:rsid w:val="00864D82"/>
    <w:rsid w:val="008710BB"/>
    <w:rsid w:val="00873ABA"/>
    <w:rsid w:val="0088464D"/>
    <w:rsid w:val="00891E40"/>
    <w:rsid w:val="0089203F"/>
    <w:rsid w:val="00893FEB"/>
    <w:rsid w:val="008A5328"/>
    <w:rsid w:val="008A5CE0"/>
    <w:rsid w:val="008A69F0"/>
    <w:rsid w:val="008B346C"/>
    <w:rsid w:val="008B502E"/>
    <w:rsid w:val="008B5183"/>
    <w:rsid w:val="008D4809"/>
    <w:rsid w:val="008D5D10"/>
    <w:rsid w:val="008D6189"/>
    <w:rsid w:val="008D6721"/>
    <w:rsid w:val="008D7FD4"/>
    <w:rsid w:val="008E1A64"/>
    <w:rsid w:val="008E458F"/>
    <w:rsid w:val="008E7EE1"/>
    <w:rsid w:val="008F020B"/>
    <w:rsid w:val="008F02C2"/>
    <w:rsid w:val="008F4554"/>
    <w:rsid w:val="0090281A"/>
    <w:rsid w:val="009122BF"/>
    <w:rsid w:val="009125AC"/>
    <w:rsid w:val="0091600A"/>
    <w:rsid w:val="00916E4D"/>
    <w:rsid w:val="009219CE"/>
    <w:rsid w:val="00925443"/>
    <w:rsid w:val="009300D2"/>
    <w:rsid w:val="00931760"/>
    <w:rsid w:val="00932146"/>
    <w:rsid w:val="00932217"/>
    <w:rsid w:val="00934424"/>
    <w:rsid w:val="00950E05"/>
    <w:rsid w:val="0096388A"/>
    <w:rsid w:val="00980881"/>
    <w:rsid w:val="009817CC"/>
    <w:rsid w:val="0098288E"/>
    <w:rsid w:val="009879A8"/>
    <w:rsid w:val="009945C4"/>
    <w:rsid w:val="00995D7E"/>
    <w:rsid w:val="00995E12"/>
    <w:rsid w:val="009A434F"/>
    <w:rsid w:val="009A7FA0"/>
    <w:rsid w:val="009B21BD"/>
    <w:rsid w:val="009B27BA"/>
    <w:rsid w:val="009B57E6"/>
    <w:rsid w:val="009C1EF6"/>
    <w:rsid w:val="009C28C3"/>
    <w:rsid w:val="009C4C68"/>
    <w:rsid w:val="009D4E44"/>
    <w:rsid w:val="009D5B4A"/>
    <w:rsid w:val="009E4751"/>
    <w:rsid w:val="009F206F"/>
    <w:rsid w:val="009F4942"/>
    <w:rsid w:val="009F62ED"/>
    <w:rsid w:val="00A0141F"/>
    <w:rsid w:val="00A12CD3"/>
    <w:rsid w:val="00A1325B"/>
    <w:rsid w:val="00A13800"/>
    <w:rsid w:val="00A1668C"/>
    <w:rsid w:val="00A50E10"/>
    <w:rsid w:val="00A51CBB"/>
    <w:rsid w:val="00A72537"/>
    <w:rsid w:val="00A777F0"/>
    <w:rsid w:val="00A86415"/>
    <w:rsid w:val="00A927AC"/>
    <w:rsid w:val="00A94ABB"/>
    <w:rsid w:val="00A974DA"/>
    <w:rsid w:val="00A97DF3"/>
    <w:rsid w:val="00AA0254"/>
    <w:rsid w:val="00AA0F8B"/>
    <w:rsid w:val="00AB142D"/>
    <w:rsid w:val="00AD0DB8"/>
    <w:rsid w:val="00AD2C86"/>
    <w:rsid w:val="00AE0C77"/>
    <w:rsid w:val="00AF251C"/>
    <w:rsid w:val="00B10519"/>
    <w:rsid w:val="00B10996"/>
    <w:rsid w:val="00B13B89"/>
    <w:rsid w:val="00B14F25"/>
    <w:rsid w:val="00B246AA"/>
    <w:rsid w:val="00B25B5B"/>
    <w:rsid w:val="00B266DD"/>
    <w:rsid w:val="00B31705"/>
    <w:rsid w:val="00B43F1E"/>
    <w:rsid w:val="00B46541"/>
    <w:rsid w:val="00B557DB"/>
    <w:rsid w:val="00B606FE"/>
    <w:rsid w:val="00B61C6C"/>
    <w:rsid w:val="00B66B46"/>
    <w:rsid w:val="00B74628"/>
    <w:rsid w:val="00B84C27"/>
    <w:rsid w:val="00B97913"/>
    <w:rsid w:val="00BA1EBC"/>
    <w:rsid w:val="00BA2B2F"/>
    <w:rsid w:val="00BB675D"/>
    <w:rsid w:val="00BB7A79"/>
    <w:rsid w:val="00BC0165"/>
    <w:rsid w:val="00BC03BB"/>
    <w:rsid w:val="00BC23DB"/>
    <w:rsid w:val="00BC3F27"/>
    <w:rsid w:val="00BC6A40"/>
    <w:rsid w:val="00BC72BD"/>
    <w:rsid w:val="00BD0208"/>
    <w:rsid w:val="00BD6D82"/>
    <w:rsid w:val="00BE7909"/>
    <w:rsid w:val="00BF0207"/>
    <w:rsid w:val="00C00A1D"/>
    <w:rsid w:val="00C03F03"/>
    <w:rsid w:val="00C07B9E"/>
    <w:rsid w:val="00C109C0"/>
    <w:rsid w:val="00C13FEE"/>
    <w:rsid w:val="00C15E74"/>
    <w:rsid w:val="00C170A5"/>
    <w:rsid w:val="00C2005B"/>
    <w:rsid w:val="00C21392"/>
    <w:rsid w:val="00C216A0"/>
    <w:rsid w:val="00C238B9"/>
    <w:rsid w:val="00C32AFE"/>
    <w:rsid w:val="00C36D0F"/>
    <w:rsid w:val="00C37425"/>
    <w:rsid w:val="00C454B5"/>
    <w:rsid w:val="00C4723E"/>
    <w:rsid w:val="00C52F8A"/>
    <w:rsid w:val="00C5381E"/>
    <w:rsid w:val="00C61C94"/>
    <w:rsid w:val="00C65E89"/>
    <w:rsid w:val="00C843C0"/>
    <w:rsid w:val="00C97A0A"/>
    <w:rsid w:val="00CA48D3"/>
    <w:rsid w:val="00CA4D06"/>
    <w:rsid w:val="00CA5E1E"/>
    <w:rsid w:val="00CA6C6D"/>
    <w:rsid w:val="00CC1DA8"/>
    <w:rsid w:val="00CC3630"/>
    <w:rsid w:val="00CC4F51"/>
    <w:rsid w:val="00CE2A25"/>
    <w:rsid w:val="00CE3711"/>
    <w:rsid w:val="00CE6DB6"/>
    <w:rsid w:val="00CE6E7F"/>
    <w:rsid w:val="00CF274E"/>
    <w:rsid w:val="00CF68FC"/>
    <w:rsid w:val="00CF73D3"/>
    <w:rsid w:val="00CF7D56"/>
    <w:rsid w:val="00D02948"/>
    <w:rsid w:val="00D049C8"/>
    <w:rsid w:val="00D1090A"/>
    <w:rsid w:val="00D14813"/>
    <w:rsid w:val="00D26955"/>
    <w:rsid w:val="00D401EE"/>
    <w:rsid w:val="00D523A5"/>
    <w:rsid w:val="00D57408"/>
    <w:rsid w:val="00D60202"/>
    <w:rsid w:val="00D61441"/>
    <w:rsid w:val="00D727AB"/>
    <w:rsid w:val="00D8396C"/>
    <w:rsid w:val="00D92A82"/>
    <w:rsid w:val="00DA0327"/>
    <w:rsid w:val="00DA3DC2"/>
    <w:rsid w:val="00DB5F24"/>
    <w:rsid w:val="00DC01A1"/>
    <w:rsid w:val="00DD2B84"/>
    <w:rsid w:val="00DD44C3"/>
    <w:rsid w:val="00DE0A54"/>
    <w:rsid w:val="00DE2046"/>
    <w:rsid w:val="00DE4D59"/>
    <w:rsid w:val="00DF2731"/>
    <w:rsid w:val="00DF72A0"/>
    <w:rsid w:val="00DF7A36"/>
    <w:rsid w:val="00E0004D"/>
    <w:rsid w:val="00E06262"/>
    <w:rsid w:val="00E102B6"/>
    <w:rsid w:val="00E27055"/>
    <w:rsid w:val="00E31F03"/>
    <w:rsid w:val="00E32C02"/>
    <w:rsid w:val="00E43EDA"/>
    <w:rsid w:val="00E44906"/>
    <w:rsid w:val="00E45B7C"/>
    <w:rsid w:val="00E460B3"/>
    <w:rsid w:val="00E51276"/>
    <w:rsid w:val="00E5796D"/>
    <w:rsid w:val="00E60AE5"/>
    <w:rsid w:val="00E6548E"/>
    <w:rsid w:val="00E750ED"/>
    <w:rsid w:val="00E75930"/>
    <w:rsid w:val="00E815CB"/>
    <w:rsid w:val="00E8181E"/>
    <w:rsid w:val="00E91660"/>
    <w:rsid w:val="00EA0798"/>
    <w:rsid w:val="00EA16AC"/>
    <w:rsid w:val="00EA1D18"/>
    <w:rsid w:val="00EB2934"/>
    <w:rsid w:val="00EB3B54"/>
    <w:rsid w:val="00EC1F46"/>
    <w:rsid w:val="00EC68CF"/>
    <w:rsid w:val="00ED03F0"/>
    <w:rsid w:val="00ED1973"/>
    <w:rsid w:val="00EE02D7"/>
    <w:rsid w:val="00EE14B8"/>
    <w:rsid w:val="00EF31B8"/>
    <w:rsid w:val="00F007FD"/>
    <w:rsid w:val="00F050B0"/>
    <w:rsid w:val="00F13E26"/>
    <w:rsid w:val="00F20B24"/>
    <w:rsid w:val="00F215EE"/>
    <w:rsid w:val="00F26D34"/>
    <w:rsid w:val="00F37522"/>
    <w:rsid w:val="00F5039B"/>
    <w:rsid w:val="00F57126"/>
    <w:rsid w:val="00F60EEC"/>
    <w:rsid w:val="00F63388"/>
    <w:rsid w:val="00F63B38"/>
    <w:rsid w:val="00F64017"/>
    <w:rsid w:val="00F917A2"/>
    <w:rsid w:val="00F91A5E"/>
    <w:rsid w:val="00FA0E3C"/>
    <w:rsid w:val="00FB103B"/>
    <w:rsid w:val="00FB11BB"/>
    <w:rsid w:val="00FB29F7"/>
    <w:rsid w:val="00FB6198"/>
    <w:rsid w:val="00FC297D"/>
    <w:rsid w:val="00FD0BEB"/>
    <w:rsid w:val="00FD4AE3"/>
    <w:rsid w:val="00FE125D"/>
    <w:rsid w:val="00FE3862"/>
    <w:rsid w:val="00FF2150"/>
    <w:rsid w:val="00FF75D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930"/>
    <w:pPr>
      <w:ind w:left="720"/>
      <w:contextualSpacing/>
    </w:pPr>
  </w:style>
  <w:style w:type="character" w:styleId="Emphasis">
    <w:name w:val="Emphasis"/>
    <w:basedOn w:val="DefaultParagraphFont"/>
    <w:uiPriority w:val="20"/>
    <w:qFormat/>
    <w:rsid w:val="007E02D1"/>
    <w:rPr>
      <w:i/>
      <w:iCs/>
    </w:rPr>
  </w:style>
  <w:style w:type="paragraph" w:styleId="FootnoteText">
    <w:name w:val="footnote text"/>
    <w:basedOn w:val="Normal"/>
    <w:link w:val="FootnoteTextChar"/>
    <w:uiPriority w:val="99"/>
    <w:unhideWhenUsed/>
    <w:rsid w:val="00742E0A"/>
    <w:pPr>
      <w:spacing w:after="0" w:line="240" w:lineRule="auto"/>
    </w:pPr>
    <w:rPr>
      <w:sz w:val="20"/>
      <w:szCs w:val="20"/>
    </w:rPr>
  </w:style>
  <w:style w:type="character" w:customStyle="1" w:styleId="FootnoteTextChar">
    <w:name w:val="Footnote Text Char"/>
    <w:basedOn w:val="DefaultParagraphFont"/>
    <w:link w:val="FootnoteText"/>
    <w:uiPriority w:val="99"/>
    <w:rsid w:val="00742E0A"/>
    <w:rPr>
      <w:sz w:val="20"/>
      <w:szCs w:val="20"/>
    </w:rPr>
  </w:style>
  <w:style w:type="character" w:styleId="FootnoteReference">
    <w:name w:val="footnote reference"/>
    <w:basedOn w:val="DefaultParagraphFont"/>
    <w:uiPriority w:val="99"/>
    <w:semiHidden/>
    <w:unhideWhenUsed/>
    <w:rsid w:val="00742E0A"/>
    <w:rPr>
      <w:vertAlign w:val="superscript"/>
    </w:rPr>
  </w:style>
  <w:style w:type="character" w:styleId="CommentReference">
    <w:name w:val="annotation reference"/>
    <w:basedOn w:val="DefaultParagraphFont"/>
    <w:uiPriority w:val="99"/>
    <w:semiHidden/>
    <w:unhideWhenUsed/>
    <w:rsid w:val="00BC72BD"/>
    <w:rPr>
      <w:sz w:val="16"/>
      <w:szCs w:val="16"/>
    </w:rPr>
  </w:style>
  <w:style w:type="paragraph" w:styleId="CommentText">
    <w:name w:val="annotation text"/>
    <w:basedOn w:val="Normal"/>
    <w:link w:val="CommentTextChar"/>
    <w:uiPriority w:val="99"/>
    <w:semiHidden/>
    <w:unhideWhenUsed/>
    <w:rsid w:val="00BC72BD"/>
    <w:pPr>
      <w:spacing w:line="240" w:lineRule="auto"/>
    </w:pPr>
    <w:rPr>
      <w:sz w:val="20"/>
      <w:szCs w:val="20"/>
    </w:rPr>
  </w:style>
  <w:style w:type="character" w:customStyle="1" w:styleId="CommentTextChar">
    <w:name w:val="Comment Text Char"/>
    <w:basedOn w:val="DefaultParagraphFont"/>
    <w:link w:val="CommentText"/>
    <w:uiPriority w:val="99"/>
    <w:semiHidden/>
    <w:rsid w:val="00BC72BD"/>
    <w:rPr>
      <w:sz w:val="20"/>
      <w:szCs w:val="20"/>
    </w:rPr>
  </w:style>
  <w:style w:type="paragraph" w:styleId="CommentSubject">
    <w:name w:val="annotation subject"/>
    <w:basedOn w:val="CommentText"/>
    <w:next w:val="CommentText"/>
    <w:link w:val="CommentSubjectChar"/>
    <w:uiPriority w:val="99"/>
    <w:semiHidden/>
    <w:unhideWhenUsed/>
    <w:rsid w:val="00BC72BD"/>
    <w:rPr>
      <w:b/>
      <w:bCs/>
    </w:rPr>
  </w:style>
  <w:style w:type="character" w:customStyle="1" w:styleId="CommentSubjectChar">
    <w:name w:val="Comment Subject Char"/>
    <w:basedOn w:val="CommentTextChar"/>
    <w:link w:val="CommentSubject"/>
    <w:uiPriority w:val="99"/>
    <w:semiHidden/>
    <w:rsid w:val="00BC72BD"/>
    <w:rPr>
      <w:b/>
      <w:bCs/>
      <w:sz w:val="20"/>
      <w:szCs w:val="20"/>
    </w:rPr>
  </w:style>
  <w:style w:type="paragraph" w:styleId="BalloonText">
    <w:name w:val="Balloon Text"/>
    <w:basedOn w:val="Normal"/>
    <w:link w:val="BalloonTextChar"/>
    <w:uiPriority w:val="99"/>
    <w:semiHidden/>
    <w:unhideWhenUsed/>
    <w:rsid w:val="00BC7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2BD"/>
    <w:rPr>
      <w:rFonts w:ascii="Tahoma" w:hAnsi="Tahoma" w:cs="Tahoma"/>
      <w:sz w:val="16"/>
      <w:szCs w:val="16"/>
    </w:rPr>
  </w:style>
  <w:style w:type="paragraph" w:customStyle="1" w:styleId="Default">
    <w:name w:val="Default"/>
    <w:rsid w:val="00995D7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BE790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E7909"/>
  </w:style>
  <w:style w:type="paragraph" w:styleId="Footer">
    <w:name w:val="footer"/>
    <w:basedOn w:val="Normal"/>
    <w:link w:val="FooterChar"/>
    <w:uiPriority w:val="99"/>
    <w:unhideWhenUsed/>
    <w:rsid w:val="00BE79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7909"/>
  </w:style>
  <w:style w:type="character" w:styleId="Hyperlink">
    <w:name w:val="Hyperlink"/>
    <w:basedOn w:val="DefaultParagraphFont"/>
    <w:uiPriority w:val="99"/>
    <w:unhideWhenUsed/>
    <w:rsid w:val="00CF68FC"/>
    <w:rPr>
      <w:color w:val="0000FF" w:themeColor="hyperlink"/>
      <w:u w:val="single"/>
    </w:rPr>
  </w:style>
  <w:style w:type="character" w:customStyle="1" w:styleId="sb8d990e2">
    <w:name w:val="sb8d990e2"/>
    <w:basedOn w:val="DefaultParagraphFont"/>
    <w:rsid w:val="00574247"/>
  </w:style>
  <w:style w:type="paragraph" w:customStyle="1" w:styleId="CM1">
    <w:name w:val="CM1"/>
    <w:basedOn w:val="Default"/>
    <w:next w:val="Default"/>
    <w:uiPriority w:val="99"/>
    <w:rsid w:val="00436EB4"/>
    <w:rPr>
      <w:rFonts w:ascii="EUAlbertina" w:hAnsi="EUAlbertina" w:cstheme="minorBidi"/>
      <w:color w:val="auto"/>
    </w:rPr>
  </w:style>
  <w:style w:type="paragraph" w:customStyle="1" w:styleId="CM3">
    <w:name w:val="CM3"/>
    <w:basedOn w:val="Default"/>
    <w:next w:val="Default"/>
    <w:uiPriority w:val="99"/>
    <w:rsid w:val="00436EB4"/>
    <w:rPr>
      <w:rFonts w:ascii="EUAlbertina" w:hAnsi="EUAlbertina" w:cstheme="minorBidi"/>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930"/>
    <w:pPr>
      <w:ind w:left="720"/>
      <w:contextualSpacing/>
    </w:pPr>
  </w:style>
  <w:style w:type="character" w:styleId="Emphasis">
    <w:name w:val="Emphasis"/>
    <w:basedOn w:val="DefaultParagraphFont"/>
    <w:uiPriority w:val="20"/>
    <w:qFormat/>
    <w:rsid w:val="007E02D1"/>
    <w:rPr>
      <w:i/>
      <w:iCs/>
    </w:rPr>
  </w:style>
  <w:style w:type="paragraph" w:styleId="FootnoteText">
    <w:name w:val="footnote text"/>
    <w:basedOn w:val="Normal"/>
    <w:link w:val="FootnoteTextChar"/>
    <w:uiPriority w:val="99"/>
    <w:unhideWhenUsed/>
    <w:rsid w:val="00742E0A"/>
    <w:pPr>
      <w:spacing w:after="0" w:line="240" w:lineRule="auto"/>
    </w:pPr>
    <w:rPr>
      <w:sz w:val="20"/>
      <w:szCs w:val="20"/>
    </w:rPr>
  </w:style>
  <w:style w:type="character" w:customStyle="1" w:styleId="FootnoteTextChar">
    <w:name w:val="Footnote Text Char"/>
    <w:basedOn w:val="DefaultParagraphFont"/>
    <w:link w:val="FootnoteText"/>
    <w:uiPriority w:val="99"/>
    <w:rsid w:val="00742E0A"/>
    <w:rPr>
      <w:sz w:val="20"/>
      <w:szCs w:val="20"/>
    </w:rPr>
  </w:style>
  <w:style w:type="character" w:styleId="FootnoteReference">
    <w:name w:val="footnote reference"/>
    <w:basedOn w:val="DefaultParagraphFont"/>
    <w:uiPriority w:val="99"/>
    <w:semiHidden/>
    <w:unhideWhenUsed/>
    <w:rsid w:val="00742E0A"/>
    <w:rPr>
      <w:vertAlign w:val="superscript"/>
    </w:rPr>
  </w:style>
  <w:style w:type="character" w:styleId="CommentReference">
    <w:name w:val="annotation reference"/>
    <w:basedOn w:val="DefaultParagraphFont"/>
    <w:uiPriority w:val="99"/>
    <w:semiHidden/>
    <w:unhideWhenUsed/>
    <w:rsid w:val="00BC72BD"/>
    <w:rPr>
      <w:sz w:val="16"/>
      <w:szCs w:val="16"/>
    </w:rPr>
  </w:style>
  <w:style w:type="paragraph" w:styleId="CommentText">
    <w:name w:val="annotation text"/>
    <w:basedOn w:val="Normal"/>
    <w:link w:val="CommentTextChar"/>
    <w:uiPriority w:val="99"/>
    <w:semiHidden/>
    <w:unhideWhenUsed/>
    <w:rsid w:val="00BC72BD"/>
    <w:pPr>
      <w:spacing w:line="240" w:lineRule="auto"/>
    </w:pPr>
    <w:rPr>
      <w:sz w:val="20"/>
      <w:szCs w:val="20"/>
    </w:rPr>
  </w:style>
  <w:style w:type="character" w:customStyle="1" w:styleId="CommentTextChar">
    <w:name w:val="Comment Text Char"/>
    <w:basedOn w:val="DefaultParagraphFont"/>
    <w:link w:val="CommentText"/>
    <w:uiPriority w:val="99"/>
    <w:semiHidden/>
    <w:rsid w:val="00BC72BD"/>
    <w:rPr>
      <w:sz w:val="20"/>
      <w:szCs w:val="20"/>
    </w:rPr>
  </w:style>
  <w:style w:type="paragraph" w:styleId="CommentSubject">
    <w:name w:val="annotation subject"/>
    <w:basedOn w:val="CommentText"/>
    <w:next w:val="CommentText"/>
    <w:link w:val="CommentSubjectChar"/>
    <w:uiPriority w:val="99"/>
    <w:semiHidden/>
    <w:unhideWhenUsed/>
    <w:rsid w:val="00BC72BD"/>
    <w:rPr>
      <w:b/>
      <w:bCs/>
    </w:rPr>
  </w:style>
  <w:style w:type="character" w:customStyle="1" w:styleId="CommentSubjectChar">
    <w:name w:val="Comment Subject Char"/>
    <w:basedOn w:val="CommentTextChar"/>
    <w:link w:val="CommentSubject"/>
    <w:uiPriority w:val="99"/>
    <w:semiHidden/>
    <w:rsid w:val="00BC72BD"/>
    <w:rPr>
      <w:b/>
      <w:bCs/>
      <w:sz w:val="20"/>
      <w:szCs w:val="20"/>
    </w:rPr>
  </w:style>
  <w:style w:type="paragraph" w:styleId="BalloonText">
    <w:name w:val="Balloon Text"/>
    <w:basedOn w:val="Normal"/>
    <w:link w:val="BalloonTextChar"/>
    <w:uiPriority w:val="99"/>
    <w:semiHidden/>
    <w:unhideWhenUsed/>
    <w:rsid w:val="00BC7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2BD"/>
    <w:rPr>
      <w:rFonts w:ascii="Tahoma" w:hAnsi="Tahoma" w:cs="Tahoma"/>
      <w:sz w:val="16"/>
      <w:szCs w:val="16"/>
    </w:rPr>
  </w:style>
  <w:style w:type="paragraph" w:customStyle="1" w:styleId="Default">
    <w:name w:val="Default"/>
    <w:rsid w:val="00995D7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BE790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E7909"/>
  </w:style>
  <w:style w:type="paragraph" w:styleId="Footer">
    <w:name w:val="footer"/>
    <w:basedOn w:val="Normal"/>
    <w:link w:val="FooterChar"/>
    <w:uiPriority w:val="99"/>
    <w:unhideWhenUsed/>
    <w:rsid w:val="00BE79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7909"/>
  </w:style>
  <w:style w:type="character" w:styleId="Hyperlink">
    <w:name w:val="Hyperlink"/>
    <w:basedOn w:val="DefaultParagraphFont"/>
    <w:uiPriority w:val="99"/>
    <w:unhideWhenUsed/>
    <w:rsid w:val="00CF68FC"/>
    <w:rPr>
      <w:color w:val="0000FF" w:themeColor="hyperlink"/>
      <w:u w:val="single"/>
    </w:rPr>
  </w:style>
  <w:style w:type="character" w:customStyle="1" w:styleId="sb8d990e2">
    <w:name w:val="sb8d990e2"/>
    <w:basedOn w:val="DefaultParagraphFont"/>
    <w:rsid w:val="00574247"/>
  </w:style>
  <w:style w:type="paragraph" w:customStyle="1" w:styleId="CM1">
    <w:name w:val="CM1"/>
    <w:basedOn w:val="Default"/>
    <w:next w:val="Default"/>
    <w:uiPriority w:val="99"/>
    <w:rsid w:val="00436EB4"/>
    <w:rPr>
      <w:rFonts w:ascii="EUAlbertina" w:hAnsi="EUAlbertina" w:cstheme="minorBidi"/>
      <w:color w:val="auto"/>
    </w:rPr>
  </w:style>
  <w:style w:type="paragraph" w:customStyle="1" w:styleId="CM3">
    <w:name w:val="CM3"/>
    <w:basedOn w:val="Default"/>
    <w:next w:val="Default"/>
    <w:uiPriority w:val="99"/>
    <w:rsid w:val="00436EB4"/>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585203">
      <w:bodyDiv w:val="1"/>
      <w:marLeft w:val="0"/>
      <w:marRight w:val="0"/>
      <w:marTop w:val="0"/>
      <w:marBottom w:val="0"/>
      <w:divBdr>
        <w:top w:val="none" w:sz="0" w:space="0" w:color="auto"/>
        <w:left w:val="none" w:sz="0" w:space="0" w:color="auto"/>
        <w:bottom w:val="none" w:sz="0" w:space="0" w:color="auto"/>
        <w:right w:val="none" w:sz="0" w:space="0" w:color="auto"/>
      </w:divBdr>
      <w:divsChild>
        <w:div w:id="2005470245">
          <w:marLeft w:val="0"/>
          <w:marRight w:val="0"/>
          <w:marTop w:val="45"/>
          <w:marBottom w:val="45"/>
          <w:divBdr>
            <w:top w:val="none" w:sz="0" w:space="0" w:color="auto"/>
            <w:left w:val="none" w:sz="0" w:space="0" w:color="auto"/>
            <w:bottom w:val="none" w:sz="0" w:space="0" w:color="auto"/>
            <w:right w:val="none" w:sz="0" w:space="0" w:color="auto"/>
          </w:divBdr>
          <w:divsChild>
            <w:div w:id="1489324684">
              <w:marLeft w:val="0"/>
              <w:marRight w:val="0"/>
              <w:marTop w:val="0"/>
              <w:marBottom w:val="0"/>
              <w:divBdr>
                <w:top w:val="none" w:sz="0" w:space="0" w:color="auto"/>
                <w:left w:val="none" w:sz="0" w:space="0" w:color="auto"/>
                <w:bottom w:val="none" w:sz="0" w:space="0" w:color="auto"/>
                <w:right w:val="none" w:sz="0" w:space="0" w:color="auto"/>
              </w:divBdr>
              <w:divsChild>
                <w:div w:id="720634726">
                  <w:marLeft w:val="0"/>
                  <w:marRight w:val="0"/>
                  <w:marTop w:val="0"/>
                  <w:marBottom w:val="0"/>
                  <w:divBdr>
                    <w:top w:val="none" w:sz="0" w:space="0" w:color="auto"/>
                    <w:left w:val="none" w:sz="0" w:space="0" w:color="auto"/>
                    <w:bottom w:val="none" w:sz="0" w:space="0" w:color="auto"/>
                    <w:right w:val="none" w:sz="0" w:space="0" w:color="auto"/>
                  </w:divBdr>
                  <w:divsChild>
                    <w:div w:id="461265480">
                      <w:marLeft w:val="0"/>
                      <w:marRight w:val="0"/>
                      <w:marTop w:val="0"/>
                      <w:marBottom w:val="0"/>
                      <w:divBdr>
                        <w:top w:val="none" w:sz="0" w:space="0" w:color="auto"/>
                        <w:left w:val="none" w:sz="0" w:space="0" w:color="auto"/>
                        <w:bottom w:val="none" w:sz="0" w:space="0" w:color="auto"/>
                        <w:right w:val="none" w:sz="0" w:space="0" w:color="auto"/>
                      </w:divBdr>
                      <w:divsChild>
                        <w:div w:id="1157838445">
                          <w:marLeft w:val="0"/>
                          <w:marRight w:val="0"/>
                          <w:marTop w:val="0"/>
                          <w:marBottom w:val="0"/>
                          <w:divBdr>
                            <w:top w:val="none" w:sz="0" w:space="0" w:color="auto"/>
                            <w:left w:val="none" w:sz="0" w:space="0" w:color="auto"/>
                            <w:bottom w:val="none" w:sz="0" w:space="0" w:color="auto"/>
                            <w:right w:val="none" w:sz="0" w:space="0" w:color="auto"/>
                          </w:divBdr>
                          <w:divsChild>
                            <w:div w:id="72121648">
                              <w:marLeft w:val="0"/>
                              <w:marRight w:val="0"/>
                              <w:marTop w:val="0"/>
                              <w:marBottom w:val="0"/>
                              <w:divBdr>
                                <w:top w:val="none" w:sz="0" w:space="0" w:color="auto"/>
                                <w:left w:val="none" w:sz="0" w:space="0" w:color="auto"/>
                                <w:bottom w:val="none" w:sz="0" w:space="0" w:color="auto"/>
                                <w:right w:val="none" w:sz="0" w:space="0" w:color="auto"/>
                              </w:divBdr>
                              <w:divsChild>
                                <w:div w:id="571083503">
                                  <w:marLeft w:val="0"/>
                                  <w:marRight w:val="0"/>
                                  <w:marTop w:val="0"/>
                                  <w:marBottom w:val="225"/>
                                  <w:divBdr>
                                    <w:top w:val="single" w:sz="12" w:space="11" w:color="CCCCCC"/>
                                    <w:left w:val="single" w:sz="12" w:space="11" w:color="CCCCCC"/>
                                    <w:bottom w:val="single" w:sz="12" w:space="0" w:color="CCCCCC"/>
                                    <w:right w:val="single" w:sz="12" w:space="11" w:color="CCCCCC"/>
                                  </w:divBdr>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lexander.debecker@uhasselt.be" TargetMode="External"/><Relationship Id="rId10" Type="http://schemas.openxmlformats.org/officeDocument/2006/relationships/hyperlink" Target="mailto:a.h.l.debecker@uva.nl"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www.const-court.be" TargetMode="External"/><Relationship Id="rId12" Type="http://schemas.openxmlformats.org/officeDocument/2006/relationships/hyperlink" Target="http://www.rijksoverheid.nl" TargetMode="External"/><Relationship Id="rId13" Type="http://schemas.openxmlformats.org/officeDocument/2006/relationships/hyperlink" Target="http://www.nu.nl" TargetMode="External"/><Relationship Id="rId14" Type="http://schemas.openxmlformats.org/officeDocument/2006/relationships/hyperlink" Target="http://www.adviesenarbitragecommisie.nl" TargetMode="External"/><Relationship Id="rId15" Type="http://schemas.openxmlformats.org/officeDocument/2006/relationships/hyperlink" Target="http://www.rijksoverheid.nl" TargetMode="External"/><Relationship Id="rId1" Type="http://schemas.openxmlformats.org/officeDocument/2006/relationships/hyperlink" Target="http://www.curia.int" TargetMode="External"/><Relationship Id="rId2" Type="http://schemas.openxmlformats.org/officeDocument/2006/relationships/hyperlink" Target="http://www.bfverg.de" TargetMode="External"/><Relationship Id="rId3" Type="http://schemas.openxmlformats.org/officeDocument/2006/relationships/hyperlink" Target="http://ec.europa.eu/economy_finance/publications/occasional_paper/2012/pdf/ocp118_en.pdf" TargetMode="External"/><Relationship Id="rId4" Type="http://schemas.openxmlformats.org/officeDocument/2006/relationships/hyperlink" Target="http://www.tribunalconstitucional.pt" TargetMode="External"/><Relationship Id="rId5" Type="http://schemas.openxmlformats.org/officeDocument/2006/relationships/hyperlink" Target="http://www.tribunalconstitutcional.pt" TargetMode="External"/><Relationship Id="rId6" Type="http://schemas.openxmlformats.org/officeDocument/2006/relationships/hyperlink" Target="http://www.tribunalconstitucional.es" TargetMode="External"/><Relationship Id="rId7" Type="http://schemas.openxmlformats.org/officeDocument/2006/relationships/hyperlink" Target="http://www.tribunalconstitucional.es" TargetMode="External"/><Relationship Id="rId8" Type="http://schemas.openxmlformats.org/officeDocument/2006/relationships/hyperlink" Target="http://ec.europa.eu/europe2020/pdf/nrp/sp_spain_en.pdf" TargetMode="External"/><Relationship Id="rId9" Type="http://schemas.openxmlformats.org/officeDocument/2006/relationships/hyperlink" Target="http://ec.europa.eu/europe2020/pdf/nd/sp2012_belgium_en.pdf" TargetMode="External"/><Relationship Id="rId10" Type="http://schemas.openxmlformats.org/officeDocument/2006/relationships/hyperlink" Target="http://www.const-court.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0ABFE-954D-EF4D-9143-BBFC11BCE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6789</Words>
  <Characters>38698</Characters>
  <Application>Microsoft Macintosh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Universiteit Hasselt</Company>
  <LinksUpToDate>false</LinksUpToDate>
  <CharactersWithSpaces>45397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lucp2441</dc:creator>
  <cp:lastModifiedBy>Bob de Jong</cp:lastModifiedBy>
  <cp:revision>2</cp:revision>
  <dcterms:created xsi:type="dcterms:W3CDTF">2014-05-12T11:27:00Z</dcterms:created>
  <dcterms:modified xsi:type="dcterms:W3CDTF">2014-05-12T11:27:00Z</dcterms:modified>
</cp:coreProperties>
</file>